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C60D3" w14:textId="169F5107" w:rsidR="007B5821" w:rsidRPr="009C1359" w:rsidRDefault="004066C3" w:rsidP="00F04696">
      <w:pPr>
        <w:jc w:val="center"/>
        <w:rPr>
          <w:rFonts w:ascii="Garamond" w:hAnsi="Garamond"/>
          <w:b/>
          <w:bCs/>
          <w:lang w:val="es-ES"/>
        </w:rPr>
      </w:pPr>
      <w:bookmarkStart w:id="0" w:name="_GoBack"/>
      <w:bookmarkEnd w:id="0"/>
      <w:r w:rsidRPr="009C1359">
        <w:rPr>
          <w:rFonts w:ascii="Garamond" w:hAnsi="Garamond"/>
          <w:b/>
          <w:bCs/>
          <w:lang w:val="es-ES"/>
        </w:rPr>
        <w:t>LA MALA FE EN EL</w:t>
      </w:r>
      <w:r w:rsidR="00E46B64" w:rsidRPr="009C1359">
        <w:rPr>
          <w:rFonts w:ascii="Garamond" w:hAnsi="Garamond"/>
          <w:b/>
          <w:bCs/>
          <w:lang w:val="es-ES"/>
        </w:rPr>
        <w:t xml:space="preserve"> REGISTRO MARCARIO</w:t>
      </w:r>
      <w:r w:rsidR="009C1359">
        <w:rPr>
          <w:rFonts w:ascii="Garamond" w:hAnsi="Garamond"/>
          <w:b/>
          <w:bCs/>
          <w:lang w:val="es-ES"/>
        </w:rPr>
        <w:t>: CASO BANKSY</w:t>
      </w:r>
    </w:p>
    <w:p w14:paraId="34F1E6AC" w14:textId="3F2B19CB" w:rsidR="004066C3" w:rsidRDefault="004066C3" w:rsidP="00F04696">
      <w:pPr>
        <w:jc w:val="center"/>
        <w:rPr>
          <w:rFonts w:ascii="Garamond" w:hAnsi="Garamond"/>
          <w:lang w:val="es-ES"/>
        </w:rPr>
      </w:pPr>
    </w:p>
    <w:p w14:paraId="73895B42" w14:textId="31B15A49" w:rsidR="004066C3" w:rsidRPr="004066C3" w:rsidRDefault="004066C3" w:rsidP="004066C3">
      <w:pPr>
        <w:jc w:val="right"/>
        <w:rPr>
          <w:rFonts w:ascii="Garamond" w:hAnsi="Garamond"/>
          <w:b/>
          <w:bCs/>
          <w:lang w:val="es-ES"/>
        </w:rPr>
      </w:pPr>
      <w:r>
        <w:rPr>
          <w:rFonts w:ascii="Garamond" w:hAnsi="Garamond"/>
          <w:b/>
          <w:bCs/>
          <w:lang w:val="es-ES"/>
        </w:rPr>
        <w:t>Por: Santiago Rafael Torres Zapata</w:t>
      </w:r>
    </w:p>
    <w:p w14:paraId="39B58A2D" w14:textId="0C24533B" w:rsidR="009A745D" w:rsidRDefault="009A745D" w:rsidP="00A513FE">
      <w:pPr>
        <w:jc w:val="both"/>
        <w:rPr>
          <w:rFonts w:ascii="Garamond" w:hAnsi="Garamond"/>
          <w:lang w:val="es-ES"/>
        </w:rPr>
      </w:pPr>
    </w:p>
    <w:p w14:paraId="05E185B6" w14:textId="4CE1791F" w:rsidR="006B01CC" w:rsidRDefault="006B01CC" w:rsidP="00A513FE">
      <w:pPr>
        <w:jc w:val="both"/>
        <w:rPr>
          <w:rFonts w:ascii="Garamond" w:hAnsi="Garamond"/>
          <w:lang w:val="es-ES"/>
        </w:rPr>
      </w:pPr>
      <w:r>
        <w:rPr>
          <w:rFonts w:ascii="Garamond" w:hAnsi="Garamond"/>
          <w:lang w:val="es-ES"/>
        </w:rPr>
        <w:t>Una adecuada estrategia para la protección de los activos intangibles</w:t>
      </w:r>
      <w:r w:rsidR="00211A74">
        <w:rPr>
          <w:rFonts w:ascii="Garamond" w:hAnsi="Garamond"/>
          <w:lang w:val="es-ES"/>
        </w:rPr>
        <w:t>, entiéndase obras, signos distintivos, invenciones y demás bienes inmateriales</w:t>
      </w:r>
      <w:r w:rsidR="0040283F">
        <w:rPr>
          <w:rFonts w:ascii="Garamond" w:hAnsi="Garamond"/>
          <w:lang w:val="es-ES"/>
        </w:rPr>
        <w:t>,</w:t>
      </w:r>
      <w:r w:rsidR="00211A74">
        <w:rPr>
          <w:rFonts w:ascii="Garamond" w:hAnsi="Garamond"/>
          <w:lang w:val="es-ES"/>
        </w:rPr>
        <w:t xml:space="preserve"> es fundamental para el desarrollo de las actividades comerciales que puede llevar a cabo una</w:t>
      </w:r>
      <w:r w:rsidR="00C97336">
        <w:rPr>
          <w:rFonts w:ascii="Garamond" w:hAnsi="Garamond"/>
          <w:lang w:val="es-ES"/>
        </w:rPr>
        <w:t xml:space="preserve"> persona</w:t>
      </w:r>
      <w:r w:rsidR="00B26757">
        <w:rPr>
          <w:rFonts w:ascii="Garamond" w:hAnsi="Garamond"/>
          <w:lang w:val="es-ES"/>
        </w:rPr>
        <w:t xml:space="preserve"> dentro del mercado</w:t>
      </w:r>
      <w:r w:rsidR="00C97336">
        <w:rPr>
          <w:rFonts w:ascii="Garamond" w:hAnsi="Garamond"/>
          <w:lang w:val="es-ES"/>
        </w:rPr>
        <w:t>, ya sea</w:t>
      </w:r>
      <w:r w:rsidR="00B26757">
        <w:rPr>
          <w:rFonts w:ascii="Garamond" w:hAnsi="Garamond"/>
          <w:lang w:val="es-ES"/>
        </w:rPr>
        <w:t xml:space="preserve"> ésta una persona</w:t>
      </w:r>
      <w:r w:rsidR="00C97336">
        <w:rPr>
          <w:rFonts w:ascii="Garamond" w:hAnsi="Garamond"/>
          <w:lang w:val="es-ES"/>
        </w:rPr>
        <w:t xml:space="preserve"> natural</w:t>
      </w:r>
      <w:r w:rsidR="002C6254">
        <w:rPr>
          <w:rFonts w:ascii="Garamond" w:hAnsi="Garamond"/>
          <w:lang w:val="es-ES"/>
        </w:rPr>
        <w:t xml:space="preserve"> como un artista</w:t>
      </w:r>
      <w:r w:rsidR="00C97336">
        <w:rPr>
          <w:rFonts w:ascii="Garamond" w:hAnsi="Garamond"/>
          <w:lang w:val="es-ES"/>
        </w:rPr>
        <w:t xml:space="preserve"> o</w:t>
      </w:r>
      <w:r w:rsidR="00B26757">
        <w:rPr>
          <w:rFonts w:ascii="Garamond" w:hAnsi="Garamond"/>
          <w:lang w:val="es-ES"/>
        </w:rPr>
        <w:t xml:space="preserve"> una persona</w:t>
      </w:r>
      <w:r w:rsidR="00C97336">
        <w:rPr>
          <w:rFonts w:ascii="Garamond" w:hAnsi="Garamond"/>
          <w:lang w:val="es-ES"/>
        </w:rPr>
        <w:t xml:space="preserve"> jurídica</w:t>
      </w:r>
      <w:r w:rsidR="00121F5C">
        <w:rPr>
          <w:rFonts w:ascii="Garamond" w:hAnsi="Garamond"/>
          <w:lang w:val="es-ES"/>
        </w:rPr>
        <w:t xml:space="preserve"> como titular derivado de los derechos patrimoniales del autor.</w:t>
      </w:r>
      <w:r w:rsidR="00C97336">
        <w:rPr>
          <w:rFonts w:ascii="Garamond" w:hAnsi="Garamond"/>
          <w:lang w:val="es-ES"/>
        </w:rPr>
        <w:t xml:space="preserve"> </w:t>
      </w:r>
      <w:r w:rsidR="00121F5C">
        <w:rPr>
          <w:rFonts w:ascii="Garamond" w:hAnsi="Garamond"/>
          <w:lang w:val="es-ES"/>
        </w:rPr>
        <w:t>D</w:t>
      </w:r>
      <w:r w:rsidR="00C97336">
        <w:rPr>
          <w:rFonts w:ascii="Garamond" w:hAnsi="Garamond"/>
          <w:lang w:val="es-ES"/>
        </w:rPr>
        <w:t xml:space="preserve">e </w:t>
      </w:r>
      <w:r w:rsidR="0040283F">
        <w:rPr>
          <w:rFonts w:ascii="Garamond" w:hAnsi="Garamond"/>
          <w:lang w:val="es-ES"/>
        </w:rPr>
        <w:t>e</w:t>
      </w:r>
      <w:r w:rsidR="00C97336">
        <w:rPr>
          <w:rFonts w:ascii="Garamond" w:hAnsi="Garamond"/>
          <w:lang w:val="es-ES"/>
        </w:rPr>
        <w:t xml:space="preserve">sta estrategia depende que, a través de las herramientas que la Propiedad Intelectual otorga, se pueda dar una protección holística y armónica </w:t>
      </w:r>
      <w:r w:rsidR="00CA6AF7">
        <w:rPr>
          <w:rFonts w:ascii="Garamond" w:hAnsi="Garamond"/>
          <w:lang w:val="es-ES"/>
        </w:rPr>
        <w:t>con el fin de</w:t>
      </w:r>
      <w:r w:rsidR="00B45551">
        <w:rPr>
          <w:rFonts w:ascii="Garamond" w:hAnsi="Garamond"/>
          <w:lang w:val="es-ES"/>
        </w:rPr>
        <w:t xml:space="preserve"> blindar</w:t>
      </w:r>
      <w:r w:rsidR="00843337">
        <w:rPr>
          <w:rFonts w:ascii="Garamond" w:hAnsi="Garamond"/>
          <w:lang w:val="es-ES"/>
        </w:rPr>
        <w:t>,</w:t>
      </w:r>
      <w:r w:rsidR="00B45551">
        <w:rPr>
          <w:rFonts w:ascii="Garamond" w:hAnsi="Garamond"/>
          <w:lang w:val="es-ES"/>
        </w:rPr>
        <w:t xml:space="preserve"> en todos los flancos posibles</w:t>
      </w:r>
      <w:r w:rsidR="00121F5C">
        <w:rPr>
          <w:rFonts w:ascii="Garamond" w:hAnsi="Garamond"/>
          <w:lang w:val="es-ES"/>
        </w:rPr>
        <w:t>,</w:t>
      </w:r>
      <w:r w:rsidR="00B45551">
        <w:rPr>
          <w:rFonts w:ascii="Garamond" w:hAnsi="Garamond"/>
          <w:lang w:val="es-ES"/>
        </w:rPr>
        <w:t xml:space="preserve"> al titular de los derechos de </w:t>
      </w:r>
      <w:r w:rsidR="00B177BE">
        <w:rPr>
          <w:rFonts w:ascii="Garamond" w:hAnsi="Garamond"/>
          <w:lang w:val="es-ES"/>
        </w:rPr>
        <w:t>P</w:t>
      </w:r>
      <w:r w:rsidR="00B45551">
        <w:rPr>
          <w:rFonts w:ascii="Garamond" w:hAnsi="Garamond"/>
          <w:lang w:val="es-ES"/>
        </w:rPr>
        <w:t xml:space="preserve">ropiedad </w:t>
      </w:r>
      <w:r w:rsidR="00B177BE">
        <w:rPr>
          <w:rFonts w:ascii="Garamond" w:hAnsi="Garamond"/>
          <w:lang w:val="es-ES"/>
        </w:rPr>
        <w:t>I</w:t>
      </w:r>
      <w:r w:rsidR="00B45551">
        <w:rPr>
          <w:rFonts w:ascii="Garamond" w:hAnsi="Garamond"/>
          <w:lang w:val="es-ES"/>
        </w:rPr>
        <w:t xml:space="preserve">ndustrial o de </w:t>
      </w:r>
      <w:r w:rsidR="00B177BE">
        <w:rPr>
          <w:rFonts w:ascii="Garamond" w:hAnsi="Garamond"/>
          <w:lang w:val="es-ES"/>
        </w:rPr>
        <w:t>D</w:t>
      </w:r>
      <w:r w:rsidR="00B45551">
        <w:rPr>
          <w:rFonts w:ascii="Garamond" w:hAnsi="Garamond"/>
          <w:lang w:val="es-ES"/>
        </w:rPr>
        <w:t xml:space="preserve">erecho de </w:t>
      </w:r>
      <w:r w:rsidR="00B177BE">
        <w:rPr>
          <w:rFonts w:ascii="Garamond" w:hAnsi="Garamond"/>
          <w:lang w:val="es-ES"/>
        </w:rPr>
        <w:t>A</w:t>
      </w:r>
      <w:r w:rsidR="00B45551">
        <w:rPr>
          <w:rFonts w:ascii="Garamond" w:hAnsi="Garamond"/>
          <w:lang w:val="es-ES"/>
        </w:rPr>
        <w:t>utor.</w:t>
      </w:r>
    </w:p>
    <w:p w14:paraId="3FA7FD7A" w14:textId="77777777" w:rsidR="006B01CC" w:rsidRDefault="006B01CC" w:rsidP="00A513FE">
      <w:pPr>
        <w:jc w:val="both"/>
        <w:rPr>
          <w:rFonts w:ascii="Garamond" w:hAnsi="Garamond"/>
          <w:lang w:val="es-ES"/>
        </w:rPr>
      </w:pPr>
    </w:p>
    <w:p w14:paraId="29146322" w14:textId="6685D1C1" w:rsidR="00A513FE" w:rsidRPr="005F7920" w:rsidRDefault="007E2C00" w:rsidP="00A513FE">
      <w:pPr>
        <w:jc w:val="both"/>
        <w:rPr>
          <w:rFonts w:ascii="Garamond" w:hAnsi="Garamond"/>
          <w:lang w:val="es-ES"/>
        </w:rPr>
      </w:pPr>
      <w:r>
        <w:rPr>
          <w:rFonts w:ascii="Garamond" w:hAnsi="Garamond"/>
          <w:lang w:val="es-ES"/>
        </w:rPr>
        <w:t>Ahora bien</w:t>
      </w:r>
      <w:r w:rsidR="0040283F">
        <w:rPr>
          <w:rFonts w:ascii="Garamond" w:hAnsi="Garamond"/>
          <w:lang w:val="es-ES"/>
        </w:rPr>
        <w:t>,</w:t>
      </w:r>
      <w:r>
        <w:rPr>
          <w:rFonts w:ascii="Garamond" w:hAnsi="Garamond"/>
          <w:lang w:val="es-ES"/>
        </w:rPr>
        <w:t xml:space="preserve"> es claro que</w:t>
      </w:r>
      <w:r w:rsidR="0040283F">
        <w:rPr>
          <w:rFonts w:ascii="Garamond" w:hAnsi="Garamond"/>
          <w:lang w:val="es-ES"/>
        </w:rPr>
        <w:t xml:space="preserve"> l</w:t>
      </w:r>
      <w:r w:rsidR="00A513FE" w:rsidRPr="005F7920">
        <w:rPr>
          <w:rFonts w:ascii="Garamond" w:hAnsi="Garamond"/>
          <w:lang w:val="es-ES"/>
        </w:rPr>
        <w:t>os signos distintivos</w:t>
      </w:r>
      <w:r w:rsidR="00121F5C">
        <w:rPr>
          <w:rFonts w:ascii="Garamond" w:hAnsi="Garamond"/>
          <w:lang w:val="es-ES"/>
        </w:rPr>
        <w:t xml:space="preserve"> (marcas, nombres comerciales, enseñas, </w:t>
      </w:r>
      <w:proofErr w:type="spellStart"/>
      <w:r w:rsidR="00121F5C">
        <w:rPr>
          <w:rFonts w:ascii="Garamond" w:hAnsi="Garamond"/>
          <w:lang w:val="es-ES"/>
        </w:rPr>
        <w:t>etc</w:t>
      </w:r>
      <w:proofErr w:type="spellEnd"/>
      <w:r w:rsidR="00121F5C">
        <w:rPr>
          <w:rFonts w:ascii="Garamond" w:hAnsi="Garamond"/>
          <w:lang w:val="es-ES"/>
        </w:rPr>
        <w:t>)</w:t>
      </w:r>
      <w:r w:rsidR="00A513FE" w:rsidRPr="005F7920">
        <w:rPr>
          <w:rFonts w:ascii="Garamond" w:hAnsi="Garamond"/>
          <w:lang w:val="es-ES"/>
        </w:rPr>
        <w:t xml:space="preserve"> son uno de los activos intangibles más importantes que pueden llegar a tener </w:t>
      </w:r>
      <w:r w:rsidR="00EB5A0D">
        <w:rPr>
          <w:rFonts w:ascii="Garamond" w:hAnsi="Garamond"/>
          <w:lang w:val="es-ES"/>
        </w:rPr>
        <w:t>los agentes del mercado</w:t>
      </w:r>
      <w:r w:rsidR="00A513FE" w:rsidRPr="005F7920">
        <w:rPr>
          <w:rFonts w:ascii="Garamond" w:hAnsi="Garamond"/>
          <w:lang w:val="es-ES"/>
        </w:rPr>
        <w:t xml:space="preserve"> pues, es a través de éstos</w:t>
      </w:r>
      <w:r w:rsidR="00B26757">
        <w:rPr>
          <w:rFonts w:ascii="Garamond" w:hAnsi="Garamond"/>
          <w:lang w:val="es-ES"/>
        </w:rPr>
        <w:t>,</w:t>
      </w:r>
      <w:r w:rsidR="00A513FE" w:rsidRPr="005F7920">
        <w:rPr>
          <w:rFonts w:ascii="Garamond" w:hAnsi="Garamond"/>
          <w:lang w:val="es-ES"/>
        </w:rPr>
        <w:t xml:space="preserve"> que se logran identificar los productos y los servicios que </w:t>
      </w:r>
      <w:r w:rsidR="00B26757">
        <w:rPr>
          <w:rFonts w:ascii="Garamond" w:hAnsi="Garamond"/>
          <w:lang w:val="es-ES"/>
        </w:rPr>
        <w:t>ofrecen</w:t>
      </w:r>
      <w:r w:rsidR="00A513FE" w:rsidRPr="005F7920">
        <w:rPr>
          <w:rFonts w:ascii="Garamond" w:hAnsi="Garamond"/>
          <w:lang w:val="es-ES"/>
        </w:rPr>
        <w:t xml:space="preserve"> al público consumidor en aras de lograr un posicionamiento en el mercado</w:t>
      </w:r>
      <w:r w:rsidR="00121F5C">
        <w:rPr>
          <w:rFonts w:ascii="Garamond" w:hAnsi="Garamond"/>
          <w:lang w:val="es-ES"/>
        </w:rPr>
        <w:t xml:space="preserve"> y de distinguirse frente a sus competidores. </w:t>
      </w:r>
    </w:p>
    <w:p w14:paraId="3E69B25A" w14:textId="6DB783D0" w:rsidR="00E253B4" w:rsidRDefault="00E253B4" w:rsidP="005612B2">
      <w:pPr>
        <w:jc w:val="both"/>
        <w:rPr>
          <w:rFonts w:ascii="Garamond" w:hAnsi="Garamond"/>
        </w:rPr>
      </w:pPr>
    </w:p>
    <w:p w14:paraId="327BC95A" w14:textId="00F067BE" w:rsidR="00E253B4" w:rsidRPr="005F7920" w:rsidRDefault="00E253B4" w:rsidP="005612B2">
      <w:pPr>
        <w:jc w:val="both"/>
        <w:rPr>
          <w:rFonts w:ascii="Garamond" w:hAnsi="Garamond"/>
        </w:rPr>
      </w:pPr>
      <w:r>
        <w:rPr>
          <w:rFonts w:ascii="Garamond" w:hAnsi="Garamond"/>
        </w:rPr>
        <w:t>Dada la trascendencia de</w:t>
      </w:r>
      <w:r w:rsidR="00121F5C">
        <w:rPr>
          <w:rFonts w:ascii="Garamond" w:hAnsi="Garamond"/>
        </w:rPr>
        <w:t xml:space="preserve"> los signos distintivos</w:t>
      </w:r>
      <w:r w:rsidR="00843337">
        <w:rPr>
          <w:rFonts w:ascii="Garamond" w:hAnsi="Garamond"/>
        </w:rPr>
        <w:t>,</w:t>
      </w:r>
      <w:r w:rsidR="00121F5C">
        <w:rPr>
          <w:rFonts w:ascii="Garamond" w:hAnsi="Garamond"/>
        </w:rPr>
        <w:t xml:space="preserve"> tanto en la economía como en el éxito comercial de las empresas</w:t>
      </w:r>
      <w:r>
        <w:rPr>
          <w:rFonts w:ascii="Garamond" w:hAnsi="Garamond"/>
        </w:rPr>
        <w:t xml:space="preserve">, su protección requiere </w:t>
      </w:r>
      <w:r w:rsidR="00CE473E">
        <w:rPr>
          <w:rFonts w:ascii="Garamond" w:hAnsi="Garamond"/>
        </w:rPr>
        <w:t>d</w:t>
      </w:r>
      <w:r>
        <w:rPr>
          <w:rFonts w:ascii="Garamond" w:hAnsi="Garamond"/>
        </w:rPr>
        <w:t>el registro constitutivo de derechos ante la Oficina Nacional Competente, que en Colombia es la Superintendencia de Industria y Comercio</w:t>
      </w:r>
      <w:r w:rsidR="00B26757">
        <w:rPr>
          <w:rFonts w:ascii="Garamond" w:hAnsi="Garamond"/>
        </w:rPr>
        <w:t>.</w:t>
      </w:r>
      <w:r>
        <w:rPr>
          <w:rFonts w:ascii="Garamond" w:hAnsi="Garamond"/>
        </w:rPr>
        <w:t xml:space="preserve"> </w:t>
      </w:r>
      <w:r w:rsidR="00B26757">
        <w:rPr>
          <w:rFonts w:ascii="Garamond" w:hAnsi="Garamond"/>
        </w:rPr>
        <w:t>M</w:t>
      </w:r>
      <w:r>
        <w:rPr>
          <w:rFonts w:ascii="Garamond" w:hAnsi="Garamond"/>
        </w:rPr>
        <w:t>ediante dicho registro se le confiere</w:t>
      </w:r>
      <w:r w:rsidR="00B26757">
        <w:rPr>
          <w:rFonts w:ascii="Garamond" w:hAnsi="Garamond"/>
        </w:rPr>
        <w:t xml:space="preserve"> al titular</w:t>
      </w:r>
      <w:r>
        <w:rPr>
          <w:rFonts w:ascii="Garamond" w:hAnsi="Garamond"/>
        </w:rPr>
        <w:t xml:space="preserve"> la facultad exclusiva de usar y explotar su signo distintivo, de conformidad con el artículo 154 de la Decisión 486 de la CAN. </w:t>
      </w:r>
    </w:p>
    <w:p w14:paraId="4214BADA" w14:textId="65758396" w:rsidR="00A64814" w:rsidRPr="005F7920" w:rsidRDefault="00B26757" w:rsidP="005612B2">
      <w:pPr>
        <w:jc w:val="both"/>
        <w:rPr>
          <w:rFonts w:ascii="Garamond" w:hAnsi="Garamond"/>
        </w:rPr>
      </w:pPr>
      <w:r>
        <w:rPr>
          <w:rFonts w:ascii="Garamond" w:hAnsi="Garamond"/>
        </w:rPr>
        <w:t xml:space="preserve"> </w:t>
      </w:r>
    </w:p>
    <w:p w14:paraId="2F63E32C" w14:textId="09A58B85" w:rsidR="00A64814" w:rsidRPr="005F7920" w:rsidRDefault="00EB5A0D" w:rsidP="005612B2">
      <w:pPr>
        <w:jc w:val="both"/>
        <w:rPr>
          <w:rFonts w:ascii="Garamond" w:hAnsi="Garamond"/>
        </w:rPr>
      </w:pPr>
      <w:r>
        <w:rPr>
          <w:rFonts w:ascii="Garamond" w:hAnsi="Garamond"/>
        </w:rPr>
        <w:t>En consonancia con lo expuesto, l</w:t>
      </w:r>
      <w:r w:rsidR="006E2C2F" w:rsidRPr="005F7920">
        <w:rPr>
          <w:rFonts w:ascii="Garamond" w:hAnsi="Garamond"/>
        </w:rPr>
        <w:t xml:space="preserve">a Superintendencia de Industria y Comercio ha concluido que el objeto jurídico del registro de una marca es conferirle a su titular </w:t>
      </w:r>
      <w:r w:rsidR="00E46B64" w:rsidRPr="005F7920">
        <w:rPr>
          <w:rFonts w:ascii="Garamond" w:hAnsi="Garamond"/>
        </w:rPr>
        <w:t>dos tipos de prerrogativas</w:t>
      </w:r>
      <w:r w:rsidR="00B26757">
        <w:rPr>
          <w:rFonts w:ascii="Garamond" w:hAnsi="Garamond"/>
        </w:rPr>
        <w:t>,</w:t>
      </w:r>
      <w:r w:rsidR="00B45551">
        <w:rPr>
          <w:rFonts w:ascii="Garamond" w:hAnsi="Garamond"/>
        </w:rPr>
        <w:t xml:space="preserve"> </w:t>
      </w:r>
      <w:r w:rsidR="00B26757">
        <w:rPr>
          <w:rFonts w:ascii="Garamond" w:hAnsi="Garamond"/>
        </w:rPr>
        <w:t>las cuales</w:t>
      </w:r>
      <w:r w:rsidR="00B45551">
        <w:rPr>
          <w:rFonts w:ascii="Garamond" w:hAnsi="Garamond"/>
        </w:rPr>
        <w:t xml:space="preserve"> están consagradas en los artículos 154 y 155 de la Decisión 486 de la CAN</w:t>
      </w:r>
      <w:r w:rsidR="00D50F3C">
        <w:rPr>
          <w:rFonts w:ascii="Garamond" w:hAnsi="Garamond"/>
        </w:rPr>
        <w:t xml:space="preserve"> y</w:t>
      </w:r>
      <w:r w:rsidR="00E46B64" w:rsidRPr="005F7920">
        <w:rPr>
          <w:rFonts w:ascii="Garamond" w:hAnsi="Garamond"/>
        </w:rPr>
        <w:t xml:space="preserve"> que </w:t>
      </w:r>
      <w:r w:rsidR="00B45551">
        <w:rPr>
          <w:rFonts w:ascii="Garamond" w:hAnsi="Garamond"/>
        </w:rPr>
        <w:t xml:space="preserve">consisten, en primer lugar, </w:t>
      </w:r>
      <w:r>
        <w:rPr>
          <w:rFonts w:ascii="Garamond" w:hAnsi="Garamond"/>
        </w:rPr>
        <w:t xml:space="preserve">en </w:t>
      </w:r>
      <w:r w:rsidR="00B45551">
        <w:rPr>
          <w:rFonts w:ascii="Garamond" w:hAnsi="Garamond"/>
        </w:rPr>
        <w:t>que</w:t>
      </w:r>
      <w:r w:rsidR="00E46B64" w:rsidRPr="005F7920">
        <w:rPr>
          <w:rFonts w:ascii="Garamond" w:hAnsi="Garamond"/>
        </w:rPr>
        <w:t xml:space="preserve"> </w:t>
      </w:r>
      <w:r w:rsidR="00B45551">
        <w:rPr>
          <w:rFonts w:ascii="Garamond" w:hAnsi="Garamond"/>
        </w:rPr>
        <w:t xml:space="preserve">con el registro del signo distintivo </w:t>
      </w:r>
      <w:r w:rsidR="00E46B64" w:rsidRPr="005F7920">
        <w:rPr>
          <w:rFonts w:ascii="Garamond" w:hAnsi="Garamond"/>
        </w:rPr>
        <w:t xml:space="preserve">su titular </w:t>
      </w:r>
      <w:r w:rsidR="00B45551">
        <w:rPr>
          <w:rFonts w:ascii="Garamond" w:hAnsi="Garamond"/>
        </w:rPr>
        <w:t xml:space="preserve">adquiera el derecho al </w:t>
      </w:r>
      <w:r w:rsidR="00E46B64" w:rsidRPr="005F7920">
        <w:rPr>
          <w:rFonts w:ascii="Garamond" w:hAnsi="Garamond"/>
        </w:rPr>
        <w:t>us</w:t>
      </w:r>
      <w:r w:rsidR="00B45551">
        <w:rPr>
          <w:rFonts w:ascii="Garamond" w:hAnsi="Garamond"/>
        </w:rPr>
        <w:t>o</w:t>
      </w:r>
      <w:r w:rsidR="00E46B64" w:rsidRPr="005F7920">
        <w:rPr>
          <w:rFonts w:ascii="Garamond" w:hAnsi="Garamond"/>
        </w:rPr>
        <w:t xml:space="preserve"> exclusi</w:t>
      </w:r>
      <w:r w:rsidR="00B45551">
        <w:rPr>
          <w:rFonts w:ascii="Garamond" w:hAnsi="Garamond"/>
        </w:rPr>
        <w:t>vo</w:t>
      </w:r>
      <w:r w:rsidR="00E46B64" w:rsidRPr="005F7920">
        <w:rPr>
          <w:rFonts w:ascii="Garamond" w:hAnsi="Garamond"/>
        </w:rPr>
        <w:t xml:space="preserve"> </w:t>
      </w:r>
      <w:r w:rsidR="00B45551">
        <w:rPr>
          <w:rFonts w:ascii="Garamond" w:hAnsi="Garamond"/>
        </w:rPr>
        <w:t>d</w:t>
      </w:r>
      <w:r w:rsidR="00E46B64" w:rsidRPr="005F7920">
        <w:rPr>
          <w:rFonts w:ascii="Garamond" w:hAnsi="Garamond"/>
        </w:rPr>
        <w:t xml:space="preserve">el </w:t>
      </w:r>
      <w:r w:rsidR="00B45551">
        <w:rPr>
          <w:rFonts w:ascii="Garamond" w:hAnsi="Garamond"/>
        </w:rPr>
        <w:t>mismo</w:t>
      </w:r>
      <w:r w:rsidR="00E46B64" w:rsidRPr="005F7920">
        <w:rPr>
          <w:rFonts w:ascii="Garamond" w:hAnsi="Garamond"/>
        </w:rPr>
        <w:t xml:space="preserve"> y</w:t>
      </w:r>
      <w:r w:rsidR="00B45551">
        <w:rPr>
          <w:rFonts w:ascii="Garamond" w:hAnsi="Garamond"/>
        </w:rPr>
        <w:t>, por otro lado, que el titular pueda impedir y</w:t>
      </w:r>
      <w:r w:rsidR="00E46B64" w:rsidRPr="005F7920">
        <w:rPr>
          <w:rFonts w:ascii="Garamond" w:hAnsi="Garamond"/>
        </w:rPr>
        <w:t xml:space="preserve"> evita</w:t>
      </w:r>
      <w:r w:rsidR="00D50F3C">
        <w:rPr>
          <w:rFonts w:ascii="Garamond" w:hAnsi="Garamond"/>
        </w:rPr>
        <w:t>r</w:t>
      </w:r>
      <w:r w:rsidR="00E46B64" w:rsidRPr="005F7920">
        <w:rPr>
          <w:rFonts w:ascii="Garamond" w:hAnsi="Garamond"/>
        </w:rPr>
        <w:t xml:space="preserve"> que terceros </w:t>
      </w:r>
      <w:r w:rsidR="009A745D">
        <w:rPr>
          <w:rFonts w:ascii="Garamond" w:hAnsi="Garamond"/>
        </w:rPr>
        <w:t>exploten</w:t>
      </w:r>
      <w:r w:rsidR="00B45551">
        <w:rPr>
          <w:rFonts w:ascii="Garamond" w:hAnsi="Garamond"/>
        </w:rPr>
        <w:t xml:space="preserve"> el signo distintivo registrado </w:t>
      </w:r>
      <w:r w:rsidR="00B45551" w:rsidRPr="005F7920">
        <w:rPr>
          <w:rFonts w:ascii="Garamond" w:hAnsi="Garamond"/>
        </w:rPr>
        <w:t>sin su consentimiento</w:t>
      </w:r>
      <w:r w:rsidR="00CE473E">
        <w:rPr>
          <w:rFonts w:ascii="Garamond" w:hAnsi="Garamond"/>
        </w:rPr>
        <w:t xml:space="preserve"> previo</w:t>
      </w:r>
      <w:r w:rsidR="00E46B64" w:rsidRPr="005F7920">
        <w:rPr>
          <w:rFonts w:ascii="Garamond" w:hAnsi="Garamond"/>
        </w:rPr>
        <w:t>.</w:t>
      </w:r>
      <w:r w:rsidR="00E46B64" w:rsidRPr="005F7920">
        <w:rPr>
          <w:rStyle w:val="Refdenotaalpie"/>
          <w:rFonts w:ascii="Garamond" w:hAnsi="Garamond"/>
        </w:rPr>
        <w:footnoteReference w:id="1"/>
      </w:r>
    </w:p>
    <w:p w14:paraId="2E1B4130" w14:textId="77777777" w:rsidR="00A64814" w:rsidRPr="005F7920" w:rsidRDefault="00A64814" w:rsidP="005612B2">
      <w:pPr>
        <w:jc w:val="both"/>
        <w:rPr>
          <w:rFonts w:ascii="Garamond" w:hAnsi="Garamond"/>
        </w:rPr>
      </w:pPr>
    </w:p>
    <w:p w14:paraId="3B9343FA" w14:textId="4ED23B75" w:rsidR="00FD373D" w:rsidRPr="005F7920" w:rsidRDefault="00C45421" w:rsidP="005612B2">
      <w:pPr>
        <w:jc w:val="both"/>
        <w:rPr>
          <w:rFonts w:ascii="Garamond" w:hAnsi="Garamond"/>
        </w:rPr>
      </w:pPr>
      <w:r w:rsidRPr="005F7920">
        <w:rPr>
          <w:rFonts w:ascii="Garamond" w:hAnsi="Garamond"/>
          <w:lang w:val="es-ES"/>
        </w:rPr>
        <w:t>E</w:t>
      </w:r>
      <w:r w:rsidR="00B26757">
        <w:rPr>
          <w:rFonts w:ascii="Garamond" w:hAnsi="Garamond"/>
          <w:lang w:val="es-ES"/>
        </w:rPr>
        <w:t>s por esto que,</w:t>
      </w:r>
      <w:r w:rsidRPr="005F7920">
        <w:rPr>
          <w:rFonts w:ascii="Garamond" w:hAnsi="Garamond"/>
          <w:lang w:val="es-ES"/>
        </w:rPr>
        <w:t xml:space="preserve"> cuando el registro de una marca no bus</w:t>
      </w:r>
      <w:r w:rsidR="00B26757">
        <w:rPr>
          <w:rFonts w:ascii="Garamond" w:hAnsi="Garamond"/>
          <w:lang w:val="es-ES"/>
        </w:rPr>
        <w:t>ca</w:t>
      </w:r>
      <w:r w:rsidRPr="005F7920">
        <w:rPr>
          <w:rFonts w:ascii="Garamond" w:hAnsi="Garamond"/>
          <w:lang w:val="es-ES"/>
        </w:rPr>
        <w:t xml:space="preserve"> cumplir con el objeto jurídico antes mencionado y</w:t>
      </w:r>
      <w:r w:rsidR="00FD373D" w:rsidRPr="005F7920">
        <w:rPr>
          <w:rFonts w:ascii="Garamond" w:hAnsi="Garamond"/>
          <w:lang w:val="es-ES"/>
        </w:rPr>
        <w:t>,</w:t>
      </w:r>
      <w:r w:rsidRPr="005F7920">
        <w:rPr>
          <w:rFonts w:ascii="Garamond" w:hAnsi="Garamond"/>
          <w:lang w:val="es-ES"/>
        </w:rPr>
        <w:t xml:space="preserve"> en adición a ello</w:t>
      </w:r>
      <w:r w:rsidR="00FD373D" w:rsidRPr="005F7920">
        <w:rPr>
          <w:rFonts w:ascii="Garamond" w:hAnsi="Garamond"/>
          <w:lang w:val="es-ES"/>
        </w:rPr>
        <w:t>,</w:t>
      </w:r>
      <w:r w:rsidRPr="005F7920">
        <w:rPr>
          <w:rFonts w:ascii="Garamond" w:hAnsi="Garamond"/>
          <w:lang w:val="es-ES"/>
        </w:rPr>
        <w:t xml:space="preserve"> bus</w:t>
      </w:r>
      <w:r w:rsidR="00B26757">
        <w:rPr>
          <w:rFonts w:ascii="Garamond" w:hAnsi="Garamond"/>
          <w:lang w:val="es-ES"/>
        </w:rPr>
        <w:t>ca</w:t>
      </w:r>
      <w:r w:rsidRPr="005F7920">
        <w:rPr>
          <w:rFonts w:ascii="Garamond" w:hAnsi="Garamond"/>
          <w:lang w:val="es-ES"/>
        </w:rPr>
        <w:t xml:space="preserve"> generar un perjuicio injustificado </w:t>
      </w:r>
      <w:r w:rsidR="004066C3">
        <w:rPr>
          <w:rFonts w:ascii="Garamond" w:hAnsi="Garamond"/>
          <w:lang w:val="es-ES"/>
        </w:rPr>
        <w:t>a</w:t>
      </w:r>
      <w:r w:rsidRPr="005F7920">
        <w:rPr>
          <w:rFonts w:ascii="Garamond" w:hAnsi="Garamond"/>
          <w:lang w:val="es-ES"/>
        </w:rPr>
        <w:t xml:space="preserve"> terceros, estaremos en el marco de</w:t>
      </w:r>
      <w:r w:rsidR="00B26757">
        <w:rPr>
          <w:rFonts w:ascii="Garamond" w:hAnsi="Garamond"/>
          <w:lang w:val="es-ES"/>
        </w:rPr>
        <w:t xml:space="preserve"> lo que se denomina</w:t>
      </w:r>
      <w:r w:rsidRPr="005F7920">
        <w:rPr>
          <w:rFonts w:ascii="Garamond" w:hAnsi="Garamond"/>
          <w:lang w:val="es-ES"/>
        </w:rPr>
        <w:t xml:space="preserve"> un </w:t>
      </w:r>
      <w:r w:rsidR="00B26757">
        <w:rPr>
          <w:rFonts w:ascii="Garamond" w:hAnsi="Garamond"/>
          <w:lang w:val="es-ES"/>
        </w:rPr>
        <w:t>“</w:t>
      </w:r>
      <w:r w:rsidRPr="005F7920">
        <w:rPr>
          <w:rFonts w:ascii="Garamond" w:hAnsi="Garamond"/>
          <w:lang w:val="es-ES"/>
        </w:rPr>
        <w:t>registro de mala fe</w:t>
      </w:r>
      <w:r w:rsidR="00B26757">
        <w:rPr>
          <w:rFonts w:ascii="Garamond" w:hAnsi="Garamond"/>
          <w:lang w:val="es-ES"/>
        </w:rPr>
        <w:t>”</w:t>
      </w:r>
      <w:r w:rsidR="00EB5A0D">
        <w:rPr>
          <w:rFonts w:ascii="Garamond" w:hAnsi="Garamond"/>
          <w:lang w:val="es-ES"/>
        </w:rPr>
        <w:t>,</w:t>
      </w:r>
      <w:r w:rsidRPr="005F7920">
        <w:rPr>
          <w:rFonts w:ascii="Garamond" w:hAnsi="Garamond"/>
          <w:lang w:val="es-ES"/>
        </w:rPr>
        <w:t xml:space="preserve"> el cual ha sido desarrollado de manera jurisprudencial por el Tribunal </w:t>
      </w:r>
      <w:r w:rsidR="00FD373D" w:rsidRPr="005F7920">
        <w:rPr>
          <w:rFonts w:ascii="Garamond" w:hAnsi="Garamond"/>
          <w:lang w:val="es-ES"/>
        </w:rPr>
        <w:t>de Justicia de la Comunidad Andina</w:t>
      </w:r>
      <w:r w:rsidRPr="005F7920">
        <w:rPr>
          <w:rFonts w:ascii="Garamond" w:hAnsi="Garamond"/>
          <w:lang w:val="es-ES"/>
        </w:rPr>
        <w:t xml:space="preserve"> </w:t>
      </w:r>
      <w:r w:rsidR="00121F5C">
        <w:rPr>
          <w:rFonts w:ascii="Garamond" w:hAnsi="Garamond"/>
          <w:lang w:val="es-ES"/>
        </w:rPr>
        <w:t xml:space="preserve">además </w:t>
      </w:r>
      <w:r w:rsidR="00B26757">
        <w:rPr>
          <w:rFonts w:ascii="Garamond" w:hAnsi="Garamond"/>
          <w:lang w:val="es-ES"/>
        </w:rPr>
        <w:t>de estar consagrado</w:t>
      </w:r>
      <w:r w:rsidR="00121F5C">
        <w:rPr>
          <w:rFonts w:ascii="Garamond" w:hAnsi="Garamond"/>
          <w:lang w:val="es-ES"/>
        </w:rPr>
        <w:t xml:space="preserve"> de manera normativa</w:t>
      </w:r>
      <w:r w:rsidRPr="005F7920">
        <w:rPr>
          <w:rFonts w:ascii="Garamond" w:hAnsi="Garamond"/>
          <w:lang w:val="es-ES"/>
        </w:rPr>
        <w:t xml:space="preserve"> en el artículo 172 de la </w:t>
      </w:r>
      <w:r w:rsidRPr="005F7920">
        <w:rPr>
          <w:rFonts w:ascii="Garamond" w:hAnsi="Garamond"/>
        </w:rPr>
        <w:t>Decisión 486 de la Comisión de la Comunidad Andina</w:t>
      </w:r>
      <w:r w:rsidR="00FD373D" w:rsidRPr="005F7920">
        <w:rPr>
          <w:rFonts w:ascii="Garamond" w:hAnsi="Garamond"/>
        </w:rPr>
        <w:t xml:space="preserve"> como causal de nulidad del registro</w:t>
      </w:r>
      <w:r w:rsidRPr="005F7920">
        <w:rPr>
          <w:rFonts w:ascii="Garamond" w:hAnsi="Garamond"/>
        </w:rPr>
        <w:t>.</w:t>
      </w:r>
    </w:p>
    <w:p w14:paraId="49B5A896" w14:textId="591151C4" w:rsidR="00F04696" w:rsidRPr="005F7920" w:rsidRDefault="00F04696" w:rsidP="005612B2">
      <w:pPr>
        <w:jc w:val="both"/>
        <w:rPr>
          <w:rFonts w:ascii="Garamond" w:hAnsi="Garamond"/>
        </w:rPr>
      </w:pPr>
    </w:p>
    <w:p w14:paraId="459CE2FB" w14:textId="475FB313" w:rsidR="000858B0" w:rsidRDefault="00E8583D" w:rsidP="005612B2">
      <w:pPr>
        <w:jc w:val="both"/>
        <w:rPr>
          <w:rFonts w:ascii="Garamond" w:hAnsi="Garamond"/>
          <w:lang w:val="es-EC"/>
        </w:rPr>
      </w:pPr>
      <w:r>
        <w:rPr>
          <w:rFonts w:ascii="Garamond" w:hAnsi="Garamond"/>
        </w:rPr>
        <w:t>E</w:t>
      </w:r>
      <w:r w:rsidR="007E6F27">
        <w:rPr>
          <w:rFonts w:ascii="Garamond" w:hAnsi="Garamond"/>
        </w:rPr>
        <w:t xml:space="preserve">l artículo 172 de la Decisión 486 dispone que </w:t>
      </w:r>
      <w:r w:rsidR="007E6F27">
        <w:rPr>
          <w:rFonts w:ascii="Garamond" w:hAnsi="Garamond"/>
          <w:lang w:val="es-ES_tradnl"/>
        </w:rPr>
        <w:t>“L</w:t>
      </w:r>
      <w:r w:rsidR="007E6F27" w:rsidRPr="007E6F27">
        <w:rPr>
          <w:rFonts w:ascii="Garamond" w:hAnsi="Garamond"/>
          <w:lang w:val="es-ES_tradnl"/>
        </w:rPr>
        <w:t>a autoridad nacional competente decretará de oficio o a solicitud de cualquier persona, la nulidad relativa de un registro de marca cuando se hubiese concedido en contravención de lo dispuesto en el artículo 136 o cuando éste se hubiera efectuado de mala fe</w:t>
      </w:r>
      <w:r w:rsidR="007E6F27">
        <w:rPr>
          <w:rFonts w:ascii="Garamond" w:hAnsi="Garamond"/>
          <w:lang w:val="es-ES_tradnl"/>
        </w:rPr>
        <w:t>” y para tal efecto el</w:t>
      </w:r>
      <w:r w:rsidR="00F04696" w:rsidRPr="005F7920">
        <w:rPr>
          <w:rFonts w:ascii="Garamond" w:hAnsi="Garamond"/>
        </w:rPr>
        <w:t xml:space="preserve"> Tribunal de </w:t>
      </w:r>
      <w:r w:rsidR="007F2541" w:rsidRPr="005F7920">
        <w:rPr>
          <w:rFonts w:ascii="Garamond" w:hAnsi="Garamond"/>
        </w:rPr>
        <w:t>J</w:t>
      </w:r>
      <w:r w:rsidR="00F04696" w:rsidRPr="005F7920">
        <w:rPr>
          <w:rFonts w:ascii="Garamond" w:hAnsi="Garamond"/>
        </w:rPr>
        <w:t>usticia</w:t>
      </w:r>
      <w:r w:rsidR="007F2541" w:rsidRPr="005F7920">
        <w:rPr>
          <w:rFonts w:ascii="Garamond" w:hAnsi="Garamond"/>
        </w:rPr>
        <w:t xml:space="preserve"> de la Comunidad Andina</w:t>
      </w:r>
      <w:r w:rsidR="008362FB">
        <w:rPr>
          <w:rFonts w:ascii="Garamond" w:hAnsi="Garamond"/>
        </w:rPr>
        <w:t xml:space="preserve"> ha </w:t>
      </w:r>
      <w:r w:rsidR="004066C3">
        <w:rPr>
          <w:rFonts w:ascii="Garamond" w:hAnsi="Garamond"/>
        </w:rPr>
        <w:t>concluido que</w:t>
      </w:r>
      <w:r w:rsidR="007E6F27">
        <w:rPr>
          <w:rFonts w:ascii="Garamond" w:hAnsi="Garamond"/>
        </w:rPr>
        <w:t xml:space="preserve"> </w:t>
      </w:r>
      <w:r w:rsidR="007F2541" w:rsidRPr="005F7920">
        <w:rPr>
          <w:rFonts w:ascii="Garamond" w:hAnsi="Garamond"/>
          <w:i/>
          <w:iCs/>
        </w:rPr>
        <w:t>“</w:t>
      </w:r>
      <w:r w:rsidR="007F2541" w:rsidRPr="005F7920">
        <w:rPr>
          <w:rFonts w:ascii="Garamond" w:hAnsi="Garamond"/>
          <w:i/>
          <w:iCs/>
          <w:lang w:val="es-EC"/>
        </w:rPr>
        <w:t xml:space="preserve">para determinar si una persona obró con mala fe es necesario que su actuación sea consecuencia </w:t>
      </w:r>
      <w:r w:rsidR="007F2541" w:rsidRPr="005F7920">
        <w:rPr>
          <w:rFonts w:ascii="Garamond" w:hAnsi="Garamond"/>
          <w:i/>
          <w:iCs/>
          <w:lang w:val="es-EC"/>
        </w:rPr>
        <w:lastRenderedPageBreak/>
        <w:t>de la intención o de la conciencia de violar una disposición legal o contractual, o causar un perjuicio injusto o ilegal”</w:t>
      </w:r>
      <w:r w:rsidR="007F2541" w:rsidRPr="005F7920">
        <w:rPr>
          <w:rStyle w:val="Refdenotaalpie"/>
          <w:rFonts w:ascii="Garamond" w:hAnsi="Garamond"/>
          <w:i/>
          <w:iCs/>
          <w:lang w:val="es-EC"/>
        </w:rPr>
        <w:footnoteReference w:id="2"/>
      </w:r>
      <w:r w:rsidR="007E6F27">
        <w:rPr>
          <w:rFonts w:ascii="Garamond" w:hAnsi="Garamond"/>
          <w:lang w:val="es-EC"/>
        </w:rPr>
        <w:t>.</w:t>
      </w:r>
    </w:p>
    <w:p w14:paraId="5C25D9BF" w14:textId="331F545F" w:rsidR="007E6F27" w:rsidRDefault="007E6F27" w:rsidP="005612B2">
      <w:pPr>
        <w:jc w:val="both"/>
        <w:rPr>
          <w:rFonts w:ascii="Garamond" w:hAnsi="Garamond"/>
          <w:lang w:val="es-EC"/>
        </w:rPr>
      </w:pPr>
    </w:p>
    <w:p w14:paraId="53F48E23" w14:textId="3FCC1866" w:rsidR="007E6F27" w:rsidRDefault="00E8583D" w:rsidP="005612B2">
      <w:pPr>
        <w:jc w:val="both"/>
        <w:rPr>
          <w:rFonts w:ascii="Garamond" w:hAnsi="Garamond"/>
          <w:lang w:val="es-ES_tradnl"/>
        </w:rPr>
      </w:pPr>
      <w:r>
        <w:rPr>
          <w:rFonts w:ascii="Garamond" w:hAnsi="Garamond"/>
        </w:rPr>
        <w:t>Así las cosas</w:t>
      </w:r>
      <w:r w:rsidR="004066C3">
        <w:rPr>
          <w:rFonts w:ascii="Garamond" w:hAnsi="Garamond"/>
        </w:rPr>
        <w:t>, es c</w:t>
      </w:r>
      <w:r w:rsidR="007E6F27">
        <w:rPr>
          <w:rFonts w:ascii="Garamond" w:hAnsi="Garamond"/>
        </w:rPr>
        <w:t xml:space="preserve">laro que uno de los casos más evidentes de mala fe en el registro marcario </w:t>
      </w:r>
      <w:r w:rsidR="001C6F05">
        <w:rPr>
          <w:rFonts w:ascii="Garamond" w:hAnsi="Garamond"/>
        </w:rPr>
        <w:t>se da</w:t>
      </w:r>
      <w:r>
        <w:rPr>
          <w:rFonts w:ascii="Garamond" w:hAnsi="Garamond"/>
        </w:rPr>
        <w:t>ría</w:t>
      </w:r>
      <w:r w:rsidR="00BC11A7">
        <w:rPr>
          <w:rFonts w:ascii="Garamond" w:hAnsi="Garamond"/>
        </w:rPr>
        <w:t>,</w:t>
      </w:r>
      <w:r w:rsidR="001C6F05">
        <w:rPr>
          <w:rFonts w:ascii="Garamond" w:hAnsi="Garamond"/>
        </w:rPr>
        <w:t xml:space="preserve"> por ejemplo</w:t>
      </w:r>
      <w:r w:rsidR="00BC11A7">
        <w:rPr>
          <w:rFonts w:ascii="Garamond" w:hAnsi="Garamond"/>
        </w:rPr>
        <w:t>,</w:t>
      </w:r>
      <w:r w:rsidR="001C6F05">
        <w:rPr>
          <w:rFonts w:ascii="Garamond" w:hAnsi="Garamond"/>
        </w:rPr>
        <w:t xml:space="preserve"> cuando se busca registrar una marca que sea idéntica o similar a </w:t>
      </w:r>
      <w:r w:rsidR="00BC11A7">
        <w:rPr>
          <w:rFonts w:ascii="Garamond" w:hAnsi="Garamond"/>
        </w:rPr>
        <w:t>otra que sea</w:t>
      </w:r>
      <w:r w:rsidR="001C6F05">
        <w:rPr>
          <w:rFonts w:ascii="Garamond" w:hAnsi="Garamond"/>
        </w:rPr>
        <w:t xml:space="preserve"> notoria</w:t>
      </w:r>
      <w:r>
        <w:rPr>
          <w:rFonts w:ascii="Garamond" w:hAnsi="Garamond"/>
        </w:rPr>
        <w:t xml:space="preserve"> como</w:t>
      </w:r>
      <w:r w:rsidR="00BC11A7">
        <w:rPr>
          <w:rFonts w:ascii="Garamond" w:hAnsi="Garamond"/>
        </w:rPr>
        <w:t xml:space="preserve"> lo es</w:t>
      </w:r>
      <w:r>
        <w:rPr>
          <w:rFonts w:ascii="Garamond" w:hAnsi="Garamond"/>
        </w:rPr>
        <w:t xml:space="preserve"> Coca Cola o Apple</w:t>
      </w:r>
      <w:r w:rsidR="004066C3">
        <w:rPr>
          <w:rFonts w:ascii="Garamond" w:hAnsi="Garamond"/>
        </w:rPr>
        <w:t>. Sin embargo,</w:t>
      </w:r>
      <w:r w:rsidR="001C6F05">
        <w:rPr>
          <w:rFonts w:ascii="Garamond" w:hAnsi="Garamond"/>
        </w:rPr>
        <w:t xml:space="preserve"> existen otros caso</w:t>
      </w:r>
      <w:r w:rsidR="004066C3">
        <w:rPr>
          <w:rFonts w:ascii="Garamond" w:hAnsi="Garamond"/>
        </w:rPr>
        <w:t>s</w:t>
      </w:r>
      <w:r w:rsidR="001C6F05">
        <w:rPr>
          <w:rFonts w:ascii="Garamond" w:hAnsi="Garamond"/>
        </w:rPr>
        <w:t xml:space="preserve"> en los cuales es necesario realizar un estudio más detallado </w:t>
      </w:r>
      <w:r w:rsidR="001329A1">
        <w:rPr>
          <w:rFonts w:ascii="Garamond" w:hAnsi="Garamond"/>
        </w:rPr>
        <w:t>para que</w:t>
      </w:r>
      <w:r w:rsidR="004647D8">
        <w:rPr>
          <w:rFonts w:ascii="Garamond" w:hAnsi="Garamond"/>
        </w:rPr>
        <w:t xml:space="preserve"> se logre acreditar que </w:t>
      </w:r>
      <w:r w:rsidR="001329A1">
        <w:rPr>
          <w:rFonts w:ascii="Garamond" w:hAnsi="Garamond"/>
        </w:rPr>
        <w:t>determinada</w:t>
      </w:r>
      <w:r w:rsidR="004647D8" w:rsidRPr="004647D8">
        <w:rPr>
          <w:rFonts w:ascii="Garamond" w:hAnsi="Garamond"/>
          <w:lang w:val="es-ES_tradnl"/>
        </w:rPr>
        <w:t xml:space="preserve"> actuación</w:t>
      </w:r>
      <w:r w:rsidR="004647D8">
        <w:rPr>
          <w:rFonts w:ascii="Garamond" w:hAnsi="Garamond"/>
          <w:lang w:val="es-ES_tradnl"/>
        </w:rPr>
        <w:t xml:space="preserve"> de una persona</w:t>
      </w:r>
      <w:r w:rsidR="004647D8" w:rsidRPr="004647D8">
        <w:rPr>
          <w:rFonts w:ascii="Garamond" w:hAnsi="Garamond"/>
          <w:lang w:val="es-ES_tradnl"/>
        </w:rPr>
        <w:t xml:space="preserve"> sea consecuencia de la intención o de la conciencia de violar una disposición legal o contractual, o causar un perjuicio injusto o ilegal.</w:t>
      </w:r>
      <w:r w:rsidR="004647D8">
        <w:rPr>
          <w:rStyle w:val="Refdenotaalpie"/>
          <w:rFonts w:ascii="Garamond" w:hAnsi="Garamond"/>
          <w:lang w:val="es-ES_tradnl"/>
        </w:rPr>
        <w:footnoteReference w:id="3"/>
      </w:r>
    </w:p>
    <w:p w14:paraId="435F28AD" w14:textId="34A85A4D" w:rsidR="004647D8" w:rsidRDefault="004647D8" w:rsidP="005612B2">
      <w:pPr>
        <w:jc w:val="both"/>
        <w:rPr>
          <w:rFonts w:ascii="Garamond" w:hAnsi="Garamond"/>
          <w:lang w:val="es-ES_tradnl"/>
        </w:rPr>
      </w:pPr>
    </w:p>
    <w:p w14:paraId="065D2AC3" w14:textId="13D0E191" w:rsidR="009F4A0E" w:rsidRDefault="004647D8" w:rsidP="004647D8">
      <w:pPr>
        <w:jc w:val="both"/>
        <w:rPr>
          <w:rFonts w:ascii="Garamond" w:hAnsi="Garamond"/>
        </w:rPr>
      </w:pPr>
      <w:r>
        <w:rPr>
          <w:rFonts w:ascii="Garamond" w:hAnsi="Garamond"/>
          <w:lang w:val="es-ES_tradnl"/>
        </w:rPr>
        <w:t>Un ejemplo</w:t>
      </w:r>
      <w:r w:rsidR="00E253B4">
        <w:rPr>
          <w:rFonts w:ascii="Garamond" w:hAnsi="Garamond"/>
          <w:lang w:val="es-ES_tradnl"/>
        </w:rPr>
        <w:t xml:space="preserve"> de lo anterior</w:t>
      </w:r>
      <w:r>
        <w:rPr>
          <w:rFonts w:ascii="Garamond" w:hAnsi="Garamond"/>
          <w:lang w:val="es-ES_tradnl"/>
        </w:rPr>
        <w:t xml:space="preserve"> es el Caso </w:t>
      </w:r>
      <w:proofErr w:type="spellStart"/>
      <w:r>
        <w:rPr>
          <w:rFonts w:ascii="Garamond" w:hAnsi="Garamond"/>
          <w:lang w:val="es-ES_tradnl"/>
        </w:rPr>
        <w:t>Banksy</w:t>
      </w:r>
      <w:proofErr w:type="spellEnd"/>
      <w:r w:rsidR="004066C3">
        <w:rPr>
          <w:rFonts w:ascii="Garamond" w:hAnsi="Garamond"/>
          <w:lang w:val="es-ES_tradnl"/>
        </w:rPr>
        <w:t>,</w:t>
      </w:r>
      <w:r>
        <w:rPr>
          <w:rFonts w:ascii="Garamond" w:hAnsi="Garamond"/>
          <w:lang w:val="es-ES_tradnl"/>
        </w:rPr>
        <w:t xml:space="preserve"> en el cual la Oficina de Propiedad Intelectual de la Unión Europea</w:t>
      </w:r>
      <w:r w:rsidR="00892062">
        <w:rPr>
          <w:rFonts w:ascii="Garamond" w:hAnsi="Garamond"/>
          <w:lang w:val="es-ES_tradnl"/>
        </w:rPr>
        <w:t xml:space="preserve"> (EUIPO)</w:t>
      </w:r>
      <w:r>
        <w:rPr>
          <w:rFonts w:ascii="Garamond" w:hAnsi="Garamond"/>
          <w:lang w:val="es-ES_tradnl"/>
        </w:rPr>
        <w:t xml:space="preserve"> sentó un importante precedente al declarar la</w:t>
      </w:r>
      <w:r w:rsidRPr="004647D8">
        <w:rPr>
          <w:rFonts w:ascii="Garamond" w:hAnsi="Garamond"/>
          <w:b/>
          <w:bCs/>
        </w:rPr>
        <w:t xml:space="preserve"> </w:t>
      </w:r>
      <w:r w:rsidRPr="004647D8">
        <w:rPr>
          <w:rFonts w:ascii="Garamond" w:hAnsi="Garamond"/>
        </w:rPr>
        <w:t>nulidad de la marca</w:t>
      </w:r>
      <w:r w:rsidR="00466C39">
        <w:rPr>
          <w:rFonts w:ascii="Garamond" w:hAnsi="Garamond"/>
        </w:rPr>
        <w:t xml:space="preserve"> registrada</w:t>
      </w:r>
      <w:r w:rsidRPr="004647D8">
        <w:rPr>
          <w:rFonts w:ascii="Garamond" w:hAnsi="Garamond"/>
        </w:rPr>
        <w:t xml:space="preserve"> de la obra </w:t>
      </w:r>
      <w:r w:rsidR="00F74F02">
        <w:rPr>
          <w:rFonts w:ascii="Garamond" w:hAnsi="Garamond"/>
        </w:rPr>
        <w:t>“</w:t>
      </w:r>
      <w:r w:rsidRPr="004647D8">
        <w:rPr>
          <w:rFonts w:ascii="Garamond" w:hAnsi="Garamond"/>
        </w:rPr>
        <w:t>Lanzador de flores</w:t>
      </w:r>
      <w:r w:rsidR="00F74F02">
        <w:rPr>
          <w:rFonts w:ascii="Garamond" w:hAnsi="Garamond"/>
        </w:rPr>
        <w:t>” o “Flower Thrower”</w:t>
      </w:r>
      <w:r w:rsidR="00466C39">
        <w:rPr>
          <w:rFonts w:ascii="Garamond" w:hAnsi="Garamond"/>
        </w:rPr>
        <w:t>,</w:t>
      </w:r>
      <w:r>
        <w:rPr>
          <w:rFonts w:ascii="Garamond" w:hAnsi="Garamond"/>
        </w:rPr>
        <w:t xml:space="preserve"> por cuanto</w:t>
      </w:r>
      <w:r w:rsidR="00892062">
        <w:rPr>
          <w:rFonts w:ascii="Garamond" w:hAnsi="Garamond"/>
        </w:rPr>
        <w:t xml:space="preserve"> consideró </w:t>
      </w:r>
      <w:r w:rsidR="00466C39">
        <w:rPr>
          <w:rFonts w:ascii="Garamond" w:hAnsi="Garamond"/>
        </w:rPr>
        <w:t>que al momento de presentar</w:t>
      </w:r>
      <w:r w:rsidR="004066C3">
        <w:rPr>
          <w:rFonts w:ascii="Garamond" w:hAnsi="Garamond"/>
        </w:rPr>
        <w:t>se</w:t>
      </w:r>
      <w:r w:rsidR="00466C39">
        <w:rPr>
          <w:rFonts w:ascii="Garamond" w:hAnsi="Garamond"/>
        </w:rPr>
        <w:t xml:space="preserve"> la solicitud de</w:t>
      </w:r>
      <w:r>
        <w:rPr>
          <w:rFonts w:ascii="Garamond" w:hAnsi="Garamond"/>
        </w:rPr>
        <w:t xml:space="preserve"> registro de la marca</w:t>
      </w:r>
      <w:r w:rsidR="00466C39">
        <w:rPr>
          <w:rFonts w:ascii="Garamond" w:hAnsi="Garamond"/>
        </w:rPr>
        <w:t>, ésta</w:t>
      </w:r>
      <w:r w:rsidR="00892062">
        <w:rPr>
          <w:rFonts w:ascii="Garamond" w:hAnsi="Garamond"/>
        </w:rPr>
        <w:t xml:space="preserve"> se hizo con mala fe pues</w:t>
      </w:r>
      <w:r w:rsidR="00E8583D">
        <w:rPr>
          <w:rFonts w:ascii="Garamond" w:hAnsi="Garamond"/>
        </w:rPr>
        <w:t>, considera el tribunal, que</w:t>
      </w:r>
      <w:r>
        <w:rPr>
          <w:rFonts w:ascii="Garamond" w:hAnsi="Garamond"/>
        </w:rPr>
        <w:t xml:space="preserve"> simplemente se </w:t>
      </w:r>
      <w:r w:rsidR="00892062">
        <w:rPr>
          <w:rFonts w:ascii="Garamond" w:hAnsi="Garamond"/>
        </w:rPr>
        <w:t>llevó a cabo</w:t>
      </w:r>
      <w:r>
        <w:rPr>
          <w:rFonts w:ascii="Garamond" w:hAnsi="Garamond"/>
        </w:rPr>
        <w:t xml:space="preserve"> con el propósito</w:t>
      </w:r>
      <w:r w:rsidR="00E253B4">
        <w:rPr>
          <w:rFonts w:ascii="Garamond" w:hAnsi="Garamond"/>
        </w:rPr>
        <w:t xml:space="preserve"> de</w:t>
      </w:r>
      <w:r>
        <w:rPr>
          <w:rFonts w:ascii="Garamond" w:hAnsi="Garamond"/>
        </w:rPr>
        <w:t xml:space="preserve"> </w:t>
      </w:r>
      <w:r w:rsidR="009F4A0E">
        <w:rPr>
          <w:rFonts w:ascii="Garamond" w:hAnsi="Garamond"/>
        </w:rPr>
        <w:t xml:space="preserve">evitar </w:t>
      </w:r>
      <w:r w:rsidR="00892062">
        <w:rPr>
          <w:rFonts w:ascii="Garamond" w:hAnsi="Garamond"/>
        </w:rPr>
        <w:t>que terceros pudieran hacer uso de la misma</w:t>
      </w:r>
      <w:r>
        <w:rPr>
          <w:rFonts w:ascii="Garamond" w:hAnsi="Garamond"/>
        </w:rPr>
        <w:t>, m</w:t>
      </w:r>
      <w:r w:rsidR="00E8583D">
        <w:rPr>
          <w:rFonts w:ascii="Garamond" w:hAnsi="Garamond"/>
        </w:rPr>
        <w:t>a</w:t>
      </w:r>
      <w:r>
        <w:rPr>
          <w:rFonts w:ascii="Garamond" w:hAnsi="Garamond"/>
        </w:rPr>
        <w:t xml:space="preserve">s no con la intención de </w:t>
      </w:r>
      <w:r w:rsidR="00466C39">
        <w:rPr>
          <w:rFonts w:ascii="Garamond" w:hAnsi="Garamond"/>
        </w:rPr>
        <w:t>que se constituyera como una</w:t>
      </w:r>
      <w:r>
        <w:rPr>
          <w:rFonts w:ascii="Garamond" w:hAnsi="Garamond"/>
        </w:rPr>
        <w:t xml:space="preserve"> marca registrada</w:t>
      </w:r>
      <w:r w:rsidR="00892062">
        <w:rPr>
          <w:rFonts w:ascii="Garamond" w:hAnsi="Garamond"/>
        </w:rPr>
        <w:t xml:space="preserve"> que pretendiera identificar productos o servicios en el mercado</w:t>
      </w:r>
      <w:r w:rsidR="009F4A0E">
        <w:rPr>
          <w:rFonts w:ascii="Garamond" w:hAnsi="Garamond"/>
        </w:rPr>
        <w:t>; tanto así</w:t>
      </w:r>
      <w:r w:rsidR="001329A1">
        <w:rPr>
          <w:rFonts w:ascii="Garamond" w:hAnsi="Garamond"/>
        </w:rPr>
        <w:t>,</w:t>
      </w:r>
      <w:r w:rsidR="009F4A0E">
        <w:rPr>
          <w:rFonts w:ascii="Garamond" w:hAnsi="Garamond"/>
        </w:rPr>
        <w:t xml:space="preserve"> que fue solo hasta octubre de 2019, cuando la marca estaba en riesgo de que caducara por su no uso, que Banksy abrió la tienda</w:t>
      </w:r>
      <w:r w:rsidR="004066C3">
        <w:rPr>
          <w:rFonts w:ascii="Garamond" w:hAnsi="Garamond"/>
        </w:rPr>
        <w:t xml:space="preserve"> temporal</w:t>
      </w:r>
      <w:r w:rsidR="009F4A0E">
        <w:rPr>
          <w:rFonts w:ascii="Garamond" w:hAnsi="Garamond"/>
        </w:rPr>
        <w:t xml:space="preserve"> </w:t>
      </w:r>
      <w:r w:rsidR="004066C3">
        <w:rPr>
          <w:rFonts w:ascii="Garamond" w:hAnsi="Garamond"/>
        </w:rPr>
        <w:t xml:space="preserve">denominada </w:t>
      </w:r>
      <w:r w:rsidR="009F4A0E">
        <w:rPr>
          <w:rFonts w:ascii="Garamond" w:hAnsi="Garamond"/>
        </w:rPr>
        <w:t>“Gross</w:t>
      </w:r>
      <w:r w:rsidR="004066C3">
        <w:rPr>
          <w:rFonts w:ascii="Garamond" w:hAnsi="Garamond"/>
        </w:rPr>
        <w:t xml:space="preserve"> domestic product” en Londres, en un esfuerzo p</w:t>
      </w:r>
      <w:r w:rsidR="00E253B4">
        <w:rPr>
          <w:rFonts w:ascii="Garamond" w:hAnsi="Garamond"/>
        </w:rPr>
        <w:t>or</w:t>
      </w:r>
      <w:r w:rsidR="009F4A0E">
        <w:rPr>
          <w:rFonts w:ascii="Garamond" w:hAnsi="Garamond"/>
        </w:rPr>
        <w:t xml:space="preserve"> evitar que acaeciera la caducidad</w:t>
      </w:r>
      <w:r>
        <w:rPr>
          <w:rFonts w:ascii="Garamond" w:hAnsi="Garamond"/>
        </w:rPr>
        <w:t>.</w:t>
      </w:r>
      <w:r w:rsidR="00892062">
        <w:rPr>
          <w:rFonts w:ascii="Garamond" w:hAnsi="Garamond"/>
        </w:rPr>
        <w:t xml:space="preserve"> </w:t>
      </w:r>
    </w:p>
    <w:p w14:paraId="40E52B71" w14:textId="77777777" w:rsidR="00F74F02" w:rsidRDefault="00F74F02" w:rsidP="004647D8">
      <w:pPr>
        <w:jc w:val="both"/>
        <w:rPr>
          <w:rFonts w:ascii="Garamond" w:hAnsi="Garamond"/>
        </w:rPr>
      </w:pPr>
    </w:p>
    <w:p w14:paraId="399D1391" w14:textId="5FA7FA30" w:rsidR="004647D8" w:rsidRPr="005F7920" w:rsidRDefault="00B26757" w:rsidP="005612B2">
      <w:pPr>
        <w:jc w:val="both"/>
        <w:rPr>
          <w:rFonts w:ascii="Garamond" w:hAnsi="Garamond"/>
        </w:rPr>
      </w:pPr>
      <w:r>
        <w:rPr>
          <w:rFonts w:ascii="Garamond" w:hAnsi="Garamond"/>
        </w:rPr>
        <w:t>El</w:t>
      </w:r>
      <w:r w:rsidR="009F4A0E">
        <w:rPr>
          <w:rFonts w:ascii="Garamond" w:hAnsi="Garamond"/>
        </w:rPr>
        <w:t xml:space="preserve"> actuar de Banksy, aunado a las múltiples declaraciones que realizó</w:t>
      </w:r>
      <w:r w:rsidR="00B24835">
        <w:rPr>
          <w:rFonts w:ascii="Garamond" w:hAnsi="Garamond"/>
        </w:rPr>
        <w:t xml:space="preserve"> en las cuales manifestaba que “Los derechos de autor son para perdedores”</w:t>
      </w:r>
      <w:r w:rsidR="00166084">
        <w:rPr>
          <w:rFonts w:ascii="Garamond" w:hAnsi="Garamond"/>
        </w:rPr>
        <w:t xml:space="preserve"> – </w:t>
      </w:r>
      <w:r w:rsidR="00166084">
        <w:rPr>
          <w:rFonts w:ascii="Garamond" w:hAnsi="Garamond"/>
          <w:i/>
          <w:iCs/>
        </w:rPr>
        <w:t>Copyright is for loser</w:t>
      </w:r>
      <w:r w:rsidR="001329A1">
        <w:rPr>
          <w:rFonts w:ascii="Garamond" w:hAnsi="Garamond"/>
          <w:i/>
          <w:iCs/>
        </w:rPr>
        <w:t>s</w:t>
      </w:r>
      <w:r w:rsidR="00166084">
        <w:rPr>
          <w:rFonts w:ascii="Garamond" w:hAnsi="Garamond"/>
          <w:i/>
          <w:iCs/>
        </w:rPr>
        <w:t xml:space="preserve"> – </w:t>
      </w:r>
      <w:r w:rsidR="004066C3">
        <w:rPr>
          <w:rFonts w:ascii="Garamond" w:hAnsi="Garamond"/>
        </w:rPr>
        <w:t>fue</w:t>
      </w:r>
      <w:r>
        <w:rPr>
          <w:rFonts w:ascii="Garamond" w:hAnsi="Garamond"/>
        </w:rPr>
        <w:t xml:space="preserve"> lo</w:t>
      </w:r>
      <w:r w:rsidR="004066C3">
        <w:rPr>
          <w:rFonts w:ascii="Garamond" w:hAnsi="Garamond"/>
        </w:rPr>
        <w:t xml:space="preserve"> que el </w:t>
      </w:r>
      <w:r w:rsidR="00843337">
        <w:rPr>
          <w:rFonts w:ascii="Garamond" w:hAnsi="Garamond"/>
        </w:rPr>
        <w:t>T</w:t>
      </w:r>
      <w:r w:rsidR="004066C3" w:rsidRPr="00F74F02">
        <w:rPr>
          <w:rFonts w:ascii="Garamond" w:hAnsi="Garamond"/>
        </w:rPr>
        <w:t xml:space="preserve">ribunal de la Oficina de la Propiedad </w:t>
      </w:r>
      <w:r w:rsidR="00843337">
        <w:rPr>
          <w:rFonts w:ascii="Garamond" w:hAnsi="Garamond"/>
        </w:rPr>
        <w:t>I</w:t>
      </w:r>
      <w:r w:rsidR="004066C3" w:rsidRPr="00F74F02">
        <w:rPr>
          <w:rFonts w:ascii="Garamond" w:hAnsi="Garamond"/>
        </w:rPr>
        <w:t>ntelectual de la Unión Europea</w:t>
      </w:r>
      <w:r w:rsidR="004066C3">
        <w:rPr>
          <w:rFonts w:ascii="Garamond" w:hAnsi="Garamond"/>
        </w:rPr>
        <w:t xml:space="preserve"> </w:t>
      </w:r>
      <w:r w:rsidR="003D7E08">
        <w:rPr>
          <w:rFonts w:ascii="Garamond" w:hAnsi="Garamond"/>
        </w:rPr>
        <w:t xml:space="preserve">tomó en </w:t>
      </w:r>
      <w:r w:rsidR="004066C3">
        <w:rPr>
          <w:rFonts w:ascii="Garamond" w:hAnsi="Garamond"/>
        </w:rPr>
        <w:t>considera</w:t>
      </w:r>
      <w:r w:rsidR="003D7E08">
        <w:rPr>
          <w:rFonts w:ascii="Garamond" w:hAnsi="Garamond"/>
        </w:rPr>
        <w:t>ción para concluir su posición</w:t>
      </w:r>
      <w:r w:rsidR="001329A1">
        <w:rPr>
          <w:rFonts w:ascii="Garamond" w:hAnsi="Garamond"/>
        </w:rPr>
        <w:t>. El Tribunal</w:t>
      </w:r>
      <w:r w:rsidR="003D7E08">
        <w:rPr>
          <w:rFonts w:ascii="Garamond" w:hAnsi="Garamond"/>
        </w:rPr>
        <w:t xml:space="preserve"> determinó</w:t>
      </w:r>
      <w:r w:rsidR="004066C3">
        <w:rPr>
          <w:rFonts w:ascii="Garamond" w:hAnsi="Garamond"/>
        </w:rPr>
        <w:t xml:space="preserve"> que el registro de la marca no se hizo con el fin de identificar productos y servicios que Banksy pudiera ofrecer en el mercado, sino con el objetivo de evitar que terceros pudieran hacer uso de la obra, lo que </w:t>
      </w:r>
      <w:r w:rsidR="001329A1">
        <w:rPr>
          <w:rFonts w:ascii="Garamond" w:hAnsi="Garamond"/>
        </w:rPr>
        <w:t xml:space="preserve">podría </w:t>
      </w:r>
      <w:r w:rsidR="004066C3">
        <w:rPr>
          <w:rFonts w:ascii="Garamond" w:hAnsi="Garamond"/>
        </w:rPr>
        <w:t>evidencia</w:t>
      </w:r>
      <w:r w:rsidR="001329A1">
        <w:rPr>
          <w:rFonts w:ascii="Garamond" w:hAnsi="Garamond"/>
        </w:rPr>
        <w:t>r</w:t>
      </w:r>
      <w:r w:rsidR="004066C3">
        <w:rPr>
          <w:rFonts w:ascii="Garamond" w:hAnsi="Garamond"/>
        </w:rPr>
        <w:t xml:space="preserve"> la</w:t>
      </w:r>
      <w:r w:rsidR="003D7E08">
        <w:rPr>
          <w:rFonts w:ascii="Garamond" w:hAnsi="Garamond"/>
        </w:rPr>
        <w:t xml:space="preserve"> supuesta</w:t>
      </w:r>
      <w:r w:rsidR="004066C3">
        <w:rPr>
          <w:rFonts w:ascii="Garamond" w:hAnsi="Garamond"/>
        </w:rPr>
        <w:t xml:space="preserve"> mala fe </w:t>
      </w:r>
      <w:r w:rsidR="00B24835">
        <w:rPr>
          <w:rFonts w:ascii="Garamond" w:hAnsi="Garamond"/>
        </w:rPr>
        <w:t>y una contraposición al objeto jurídico que tiene el registro marcario.</w:t>
      </w:r>
    </w:p>
    <w:p w14:paraId="1539111F" w14:textId="0B42D5A5" w:rsidR="005F7920" w:rsidRDefault="005F7920" w:rsidP="005612B2">
      <w:pPr>
        <w:jc w:val="both"/>
        <w:rPr>
          <w:rFonts w:ascii="Garamond" w:hAnsi="Garamond"/>
        </w:rPr>
      </w:pPr>
    </w:p>
    <w:p w14:paraId="71ADD7C9" w14:textId="4A35E7C4" w:rsidR="00B177BE" w:rsidRDefault="00B24835" w:rsidP="00B24835">
      <w:pPr>
        <w:jc w:val="both"/>
        <w:rPr>
          <w:rFonts w:ascii="Garamond" w:hAnsi="Garamond"/>
        </w:rPr>
      </w:pPr>
      <w:r>
        <w:rPr>
          <w:rFonts w:ascii="Garamond" w:hAnsi="Garamond"/>
        </w:rPr>
        <w:t>Si bien es cierto que</w:t>
      </w:r>
      <w:r w:rsidR="00E253B4">
        <w:rPr>
          <w:rFonts w:ascii="Garamond" w:hAnsi="Garamond"/>
        </w:rPr>
        <w:t xml:space="preserve"> </w:t>
      </w:r>
      <w:r>
        <w:rPr>
          <w:rFonts w:ascii="Garamond" w:hAnsi="Garamond"/>
        </w:rPr>
        <w:t xml:space="preserve">la decisión adoptada por el </w:t>
      </w:r>
      <w:r w:rsidR="001329A1">
        <w:rPr>
          <w:rFonts w:ascii="Garamond" w:hAnsi="Garamond"/>
        </w:rPr>
        <w:t>T</w:t>
      </w:r>
      <w:r w:rsidRPr="00F74F02">
        <w:rPr>
          <w:rFonts w:ascii="Garamond" w:hAnsi="Garamond"/>
        </w:rPr>
        <w:t xml:space="preserve">ribunal de la Oficina de la Propiedad </w:t>
      </w:r>
      <w:r w:rsidR="00217E8B">
        <w:rPr>
          <w:rFonts w:ascii="Garamond" w:hAnsi="Garamond"/>
        </w:rPr>
        <w:t>I</w:t>
      </w:r>
      <w:r w:rsidRPr="00F74F02">
        <w:rPr>
          <w:rFonts w:ascii="Garamond" w:hAnsi="Garamond"/>
        </w:rPr>
        <w:t>ntelectual de la Unión Europea</w:t>
      </w:r>
      <w:r>
        <w:rPr>
          <w:rFonts w:ascii="Garamond" w:hAnsi="Garamond"/>
        </w:rPr>
        <w:t xml:space="preserve"> es susceptible de recursos, es de resaltar lo que se expuso dentro de la misma</w:t>
      </w:r>
      <w:r w:rsidR="00843337">
        <w:rPr>
          <w:rFonts w:ascii="Garamond" w:hAnsi="Garamond"/>
        </w:rPr>
        <w:t>,</w:t>
      </w:r>
      <w:r>
        <w:rPr>
          <w:rFonts w:ascii="Garamond" w:hAnsi="Garamond"/>
        </w:rPr>
        <w:t xml:space="preserve"> haciendo referencia a que Banksy no puede ser considerado como “titular indiscutible” de las obras debido a su anonimato, lo que pondría en riesgo no solo la titularidad de sus obras sino también de sus marcas registradas y </w:t>
      </w:r>
      <w:r w:rsidR="00E253B4">
        <w:rPr>
          <w:rFonts w:ascii="Garamond" w:hAnsi="Garamond"/>
        </w:rPr>
        <w:t>tal situació</w:t>
      </w:r>
      <w:r w:rsidR="006A6ABD">
        <w:rPr>
          <w:rFonts w:ascii="Garamond" w:hAnsi="Garamond"/>
        </w:rPr>
        <w:t>n lo obligaría</w:t>
      </w:r>
      <w:r w:rsidR="00E253B4">
        <w:rPr>
          <w:rFonts w:ascii="Garamond" w:hAnsi="Garamond"/>
        </w:rPr>
        <w:t xml:space="preserve"> </w:t>
      </w:r>
      <w:r>
        <w:rPr>
          <w:rFonts w:ascii="Garamond" w:hAnsi="Garamond"/>
        </w:rPr>
        <w:t>a revelar su identidad para proteger sus activos intangibles</w:t>
      </w:r>
      <w:r w:rsidR="00B177BE">
        <w:rPr>
          <w:rFonts w:ascii="Garamond" w:hAnsi="Garamond"/>
        </w:rPr>
        <w:t>.</w:t>
      </w:r>
    </w:p>
    <w:p w14:paraId="604DC893" w14:textId="77777777" w:rsidR="00B177BE" w:rsidRDefault="00B177BE" w:rsidP="00B24835">
      <w:pPr>
        <w:jc w:val="both"/>
        <w:rPr>
          <w:rFonts w:ascii="Garamond" w:hAnsi="Garamond"/>
        </w:rPr>
      </w:pPr>
    </w:p>
    <w:p w14:paraId="00BB947D" w14:textId="685E9501" w:rsidR="005F7920" w:rsidRDefault="00B177BE" w:rsidP="005612B2">
      <w:pPr>
        <w:jc w:val="both"/>
        <w:rPr>
          <w:rFonts w:ascii="Garamond" w:hAnsi="Garamond"/>
        </w:rPr>
      </w:pPr>
      <w:r>
        <w:rPr>
          <w:rFonts w:ascii="Garamond" w:hAnsi="Garamond"/>
        </w:rPr>
        <w:t xml:space="preserve">De lo anterior se denota claramente la importancia y necesidad de contar con una adecuada estrategia que permita proteger de manera </w:t>
      </w:r>
      <w:r w:rsidR="00D50F3C">
        <w:rPr>
          <w:rFonts w:ascii="Garamond" w:hAnsi="Garamond"/>
        </w:rPr>
        <w:t>integral</w:t>
      </w:r>
      <w:r>
        <w:rPr>
          <w:rFonts w:ascii="Garamond" w:hAnsi="Garamond"/>
        </w:rPr>
        <w:t xml:space="preserve"> y armónica los intangibles de </w:t>
      </w:r>
      <w:r w:rsidR="00D50F3C">
        <w:rPr>
          <w:rFonts w:ascii="Garamond" w:hAnsi="Garamond"/>
        </w:rPr>
        <w:t>los artistas</w:t>
      </w:r>
      <w:r>
        <w:rPr>
          <w:rFonts w:ascii="Garamond" w:hAnsi="Garamond"/>
        </w:rPr>
        <w:t xml:space="preserve"> o de</w:t>
      </w:r>
      <w:r w:rsidR="00D50F3C">
        <w:rPr>
          <w:rFonts w:ascii="Garamond" w:hAnsi="Garamond"/>
        </w:rPr>
        <w:t xml:space="preserve"> las </w:t>
      </w:r>
      <w:r>
        <w:rPr>
          <w:rFonts w:ascii="Garamond" w:hAnsi="Garamond"/>
        </w:rPr>
        <w:t>Compañí</w:t>
      </w:r>
      <w:r w:rsidR="00D50F3C">
        <w:rPr>
          <w:rFonts w:ascii="Garamond" w:hAnsi="Garamond"/>
        </w:rPr>
        <w:t>as que representen o gestionen los derechos de éstos</w:t>
      </w:r>
      <w:r w:rsidR="001329A1">
        <w:rPr>
          <w:rFonts w:ascii="Garamond" w:hAnsi="Garamond"/>
        </w:rPr>
        <w:t>.</w:t>
      </w:r>
      <w:r>
        <w:rPr>
          <w:rFonts w:ascii="Garamond" w:hAnsi="Garamond"/>
        </w:rPr>
        <w:t xml:space="preserve"> </w:t>
      </w:r>
      <w:r w:rsidR="001329A1">
        <w:rPr>
          <w:rFonts w:ascii="Garamond" w:hAnsi="Garamond"/>
        </w:rPr>
        <w:t>E</w:t>
      </w:r>
      <w:r>
        <w:rPr>
          <w:rFonts w:ascii="Garamond" w:hAnsi="Garamond"/>
        </w:rPr>
        <w:t>nfocarse únicamente en un</w:t>
      </w:r>
      <w:r w:rsidR="00D50F3C">
        <w:rPr>
          <w:rFonts w:ascii="Garamond" w:hAnsi="Garamond"/>
        </w:rPr>
        <w:t xml:space="preserve"> solo</w:t>
      </w:r>
      <w:r>
        <w:rPr>
          <w:rFonts w:ascii="Garamond" w:hAnsi="Garamond"/>
        </w:rPr>
        <w:t xml:space="preserve"> ámbito de protección</w:t>
      </w:r>
      <w:r w:rsidR="002C6254">
        <w:rPr>
          <w:rFonts w:ascii="Garamond" w:hAnsi="Garamond"/>
        </w:rPr>
        <w:t xml:space="preserve"> de la Propiedad Intelectual,</w:t>
      </w:r>
      <w:r>
        <w:rPr>
          <w:rFonts w:ascii="Garamond" w:hAnsi="Garamond"/>
        </w:rPr>
        <w:t xml:space="preserve"> como por ejemplo</w:t>
      </w:r>
      <w:r w:rsidR="002C6254">
        <w:rPr>
          <w:rFonts w:ascii="Garamond" w:hAnsi="Garamond"/>
        </w:rPr>
        <w:t xml:space="preserve"> puede ser la protección de las obras artísticas a través</w:t>
      </w:r>
      <w:r>
        <w:rPr>
          <w:rFonts w:ascii="Garamond" w:hAnsi="Garamond"/>
        </w:rPr>
        <w:t xml:space="preserve"> </w:t>
      </w:r>
      <w:r w:rsidR="002C6254">
        <w:rPr>
          <w:rFonts w:ascii="Garamond" w:hAnsi="Garamond"/>
        </w:rPr>
        <w:t>d</w:t>
      </w:r>
      <w:r>
        <w:rPr>
          <w:rFonts w:ascii="Garamond" w:hAnsi="Garamond"/>
        </w:rPr>
        <w:t>el Derecho de Autor</w:t>
      </w:r>
      <w:r w:rsidR="002C6254">
        <w:rPr>
          <w:rFonts w:ascii="Garamond" w:hAnsi="Garamond"/>
        </w:rPr>
        <w:t>,</w:t>
      </w:r>
      <w:r w:rsidR="00D50F3C">
        <w:rPr>
          <w:rFonts w:ascii="Garamond" w:hAnsi="Garamond"/>
        </w:rPr>
        <w:t xml:space="preserve"> las</w:t>
      </w:r>
      <w:r w:rsidR="002C6254">
        <w:rPr>
          <w:rFonts w:ascii="Garamond" w:hAnsi="Garamond"/>
        </w:rPr>
        <w:t xml:space="preserve"> puede dejar “desamparada</w:t>
      </w:r>
      <w:r w:rsidR="00D50F3C">
        <w:rPr>
          <w:rFonts w:ascii="Garamond" w:hAnsi="Garamond"/>
        </w:rPr>
        <w:t>s</w:t>
      </w:r>
      <w:r w:rsidR="002C6254">
        <w:rPr>
          <w:rFonts w:ascii="Garamond" w:hAnsi="Garamond"/>
        </w:rPr>
        <w:t>” en lo re</w:t>
      </w:r>
      <w:r w:rsidR="00D50F3C">
        <w:rPr>
          <w:rFonts w:ascii="Garamond" w:hAnsi="Garamond"/>
        </w:rPr>
        <w:t>lativo</w:t>
      </w:r>
      <w:r w:rsidR="002C6254">
        <w:rPr>
          <w:rFonts w:ascii="Garamond" w:hAnsi="Garamond"/>
        </w:rPr>
        <w:t xml:space="preserve"> a la </w:t>
      </w:r>
      <w:r w:rsidR="00D806CF">
        <w:rPr>
          <w:rFonts w:ascii="Garamond" w:hAnsi="Garamond"/>
        </w:rPr>
        <w:t>P</w:t>
      </w:r>
      <w:r w:rsidR="002C6254">
        <w:rPr>
          <w:rFonts w:ascii="Garamond" w:hAnsi="Garamond"/>
        </w:rPr>
        <w:t xml:space="preserve">ropiedad </w:t>
      </w:r>
      <w:r w:rsidR="00D806CF">
        <w:rPr>
          <w:rFonts w:ascii="Garamond" w:hAnsi="Garamond"/>
        </w:rPr>
        <w:t>I</w:t>
      </w:r>
      <w:r w:rsidR="002C6254">
        <w:rPr>
          <w:rFonts w:ascii="Garamond" w:hAnsi="Garamond"/>
        </w:rPr>
        <w:t>ndustrial</w:t>
      </w:r>
      <w:r w:rsidR="00D806CF">
        <w:rPr>
          <w:rFonts w:ascii="Garamond" w:hAnsi="Garamond"/>
        </w:rPr>
        <w:t xml:space="preserve"> como por ejemplo el nombre, las marcas, los productos y/o servicios que pretenda ofrecer, etc. </w:t>
      </w:r>
      <w:r w:rsidR="00D4714A">
        <w:rPr>
          <w:rFonts w:ascii="Garamond" w:hAnsi="Garamond"/>
        </w:rPr>
        <w:t>En ese orden de ideas</w:t>
      </w:r>
      <w:r w:rsidR="00D806CF">
        <w:rPr>
          <w:rFonts w:ascii="Garamond" w:hAnsi="Garamond"/>
        </w:rPr>
        <w:t>, en el marco de una creación, se debe propender por la protección de todos los aspectos que se deriven de la misma, m</w:t>
      </w:r>
      <w:r w:rsidR="00D50F3C">
        <w:rPr>
          <w:rFonts w:ascii="Garamond" w:hAnsi="Garamond"/>
        </w:rPr>
        <w:t>áxime</w:t>
      </w:r>
      <w:r w:rsidR="00D806CF">
        <w:rPr>
          <w:rFonts w:ascii="Garamond" w:hAnsi="Garamond"/>
        </w:rPr>
        <w:t xml:space="preserve"> teniendo </w:t>
      </w:r>
      <w:r w:rsidR="00D50F3C">
        <w:rPr>
          <w:rFonts w:ascii="Garamond" w:hAnsi="Garamond"/>
        </w:rPr>
        <w:lastRenderedPageBreak/>
        <w:t>en cuenta</w:t>
      </w:r>
      <w:r w:rsidR="00D806CF">
        <w:rPr>
          <w:rFonts w:ascii="Garamond" w:hAnsi="Garamond"/>
        </w:rPr>
        <w:t xml:space="preserve"> </w:t>
      </w:r>
      <w:r w:rsidR="00D50F3C">
        <w:rPr>
          <w:rFonts w:ascii="Garamond" w:hAnsi="Garamond"/>
        </w:rPr>
        <w:t>que</w:t>
      </w:r>
      <w:r w:rsidR="00D806CF">
        <w:rPr>
          <w:rFonts w:ascii="Garamond" w:hAnsi="Garamond"/>
        </w:rPr>
        <w:t xml:space="preserve"> la Propiedad Intelectual </w:t>
      </w:r>
      <w:r w:rsidR="00D50F3C">
        <w:rPr>
          <w:rFonts w:ascii="Garamond" w:hAnsi="Garamond"/>
        </w:rPr>
        <w:t>admite</w:t>
      </w:r>
      <w:r w:rsidR="00D806CF">
        <w:rPr>
          <w:rFonts w:ascii="Garamond" w:hAnsi="Garamond"/>
        </w:rPr>
        <w:t xml:space="preserve"> la concurrencia </w:t>
      </w:r>
      <w:r w:rsidR="00D50F3C">
        <w:rPr>
          <w:rFonts w:ascii="Garamond" w:hAnsi="Garamond"/>
        </w:rPr>
        <w:t>de</w:t>
      </w:r>
      <w:r w:rsidR="00D806CF">
        <w:rPr>
          <w:rFonts w:ascii="Garamond" w:hAnsi="Garamond"/>
        </w:rPr>
        <w:t xml:space="preserve"> la mayoría de los mecanismos de protección.</w:t>
      </w:r>
    </w:p>
    <w:p w14:paraId="3247714A" w14:textId="79D1F09B" w:rsidR="00052C1D" w:rsidRDefault="00052C1D" w:rsidP="005612B2">
      <w:pPr>
        <w:jc w:val="both"/>
        <w:rPr>
          <w:rFonts w:ascii="Garamond" w:hAnsi="Garamond"/>
        </w:rPr>
      </w:pPr>
    </w:p>
    <w:p w14:paraId="0E43CD8F" w14:textId="77777777" w:rsidR="00843337" w:rsidRDefault="00EB5A0D" w:rsidP="005612B2">
      <w:pPr>
        <w:jc w:val="both"/>
        <w:rPr>
          <w:rFonts w:ascii="Garamond" w:hAnsi="Garamond"/>
        </w:rPr>
      </w:pPr>
      <w:r>
        <w:rPr>
          <w:rFonts w:ascii="Garamond" w:hAnsi="Garamond"/>
        </w:rPr>
        <w:t xml:space="preserve">A manera ilustrativa </w:t>
      </w:r>
      <w:r w:rsidR="000473FC">
        <w:rPr>
          <w:rFonts w:ascii="Garamond" w:hAnsi="Garamond"/>
        </w:rPr>
        <w:t>encontramos</w:t>
      </w:r>
      <w:r>
        <w:rPr>
          <w:rFonts w:ascii="Garamond" w:hAnsi="Garamond"/>
        </w:rPr>
        <w:t xml:space="preserve"> </w:t>
      </w:r>
      <w:r w:rsidR="000473FC">
        <w:rPr>
          <w:rFonts w:ascii="Garamond" w:hAnsi="Garamond"/>
        </w:rPr>
        <w:t>a</w:t>
      </w:r>
      <w:r w:rsidR="00166DC8">
        <w:rPr>
          <w:rFonts w:ascii="Garamond" w:hAnsi="Garamond"/>
        </w:rPr>
        <w:t xml:space="preserve"> los titulares de la marca</w:t>
      </w:r>
      <w:r>
        <w:rPr>
          <w:rFonts w:ascii="Garamond" w:hAnsi="Garamond"/>
        </w:rPr>
        <w:t xml:space="preserve"> “Lili Pink”</w:t>
      </w:r>
      <w:r w:rsidR="00C16962">
        <w:rPr>
          <w:rFonts w:ascii="Garamond" w:hAnsi="Garamond"/>
        </w:rPr>
        <w:t>,</w:t>
      </w:r>
      <w:r w:rsidR="000473FC">
        <w:rPr>
          <w:rFonts w:ascii="Garamond" w:hAnsi="Garamond"/>
        </w:rPr>
        <w:t xml:space="preserve"> </w:t>
      </w:r>
      <w:r w:rsidR="00166DC8">
        <w:rPr>
          <w:rFonts w:ascii="Garamond" w:hAnsi="Garamond"/>
        </w:rPr>
        <w:t xml:space="preserve">quienes no se limitaron únicamente a </w:t>
      </w:r>
      <w:r w:rsidR="00C16962">
        <w:rPr>
          <w:rFonts w:ascii="Garamond" w:hAnsi="Garamond"/>
        </w:rPr>
        <w:t>registra</w:t>
      </w:r>
      <w:r w:rsidR="00166DC8">
        <w:rPr>
          <w:rFonts w:ascii="Garamond" w:hAnsi="Garamond"/>
        </w:rPr>
        <w:t>r</w:t>
      </w:r>
      <w:r w:rsidR="000473FC">
        <w:rPr>
          <w:rFonts w:ascii="Garamond" w:hAnsi="Garamond"/>
        </w:rPr>
        <w:t xml:space="preserve"> los signos distintivos </w:t>
      </w:r>
      <w:r w:rsidR="00166DC8">
        <w:rPr>
          <w:rFonts w:ascii="Garamond" w:hAnsi="Garamond"/>
        </w:rPr>
        <w:t>ante la Superintendencia de Industria y Comercio sino que fueron más allá, registrando las artes gráficas del corazón</w:t>
      </w:r>
      <w:r w:rsidR="00843337">
        <w:rPr>
          <w:rFonts w:ascii="Garamond" w:hAnsi="Garamond"/>
        </w:rPr>
        <w:t>,</w:t>
      </w:r>
      <w:r w:rsidR="00166DC8">
        <w:rPr>
          <w:rFonts w:ascii="Garamond" w:hAnsi="Garamond"/>
        </w:rPr>
        <w:t xml:space="preserve"> que está contenida en su marca</w:t>
      </w:r>
      <w:r w:rsidR="00843337">
        <w:rPr>
          <w:rFonts w:ascii="Garamond" w:hAnsi="Garamond"/>
        </w:rPr>
        <w:t>,</w:t>
      </w:r>
      <w:r w:rsidR="00166DC8">
        <w:rPr>
          <w:rFonts w:ascii="Garamond" w:hAnsi="Garamond"/>
        </w:rPr>
        <w:t xml:space="preserve"> ante la Dirección Nacional de Derechos de Autor. Esta estrategia es muy útil en aras de lograr una mayor protección que no solo permitiría una posible indemnización por infracción de derechos de </w:t>
      </w:r>
      <w:r w:rsidR="00843337">
        <w:rPr>
          <w:rFonts w:ascii="Garamond" w:hAnsi="Garamond"/>
        </w:rPr>
        <w:t>P</w:t>
      </w:r>
      <w:r w:rsidR="00166DC8">
        <w:rPr>
          <w:rFonts w:ascii="Garamond" w:hAnsi="Garamond"/>
        </w:rPr>
        <w:t xml:space="preserve">ropiedad </w:t>
      </w:r>
      <w:r w:rsidR="00843337">
        <w:rPr>
          <w:rFonts w:ascii="Garamond" w:hAnsi="Garamond"/>
        </w:rPr>
        <w:t>I</w:t>
      </w:r>
      <w:r w:rsidR="00166DC8">
        <w:rPr>
          <w:rFonts w:ascii="Garamond" w:hAnsi="Garamond"/>
        </w:rPr>
        <w:t xml:space="preserve">ndustrial sino también una indemnización por violación de Derecho de Autor. </w:t>
      </w:r>
    </w:p>
    <w:p w14:paraId="3D1AAC77" w14:textId="77777777" w:rsidR="00843337" w:rsidRDefault="00843337" w:rsidP="005612B2">
      <w:pPr>
        <w:jc w:val="both"/>
        <w:rPr>
          <w:rFonts w:ascii="Garamond" w:hAnsi="Garamond"/>
        </w:rPr>
      </w:pPr>
    </w:p>
    <w:p w14:paraId="06086A84" w14:textId="0CFE6F81" w:rsidR="00052C1D" w:rsidRDefault="006E0813" w:rsidP="005612B2">
      <w:pPr>
        <w:jc w:val="both"/>
        <w:rPr>
          <w:rFonts w:ascii="Garamond" w:hAnsi="Garamond"/>
        </w:rPr>
      </w:pPr>
      <w:r>
        <w:rPr>
          <w:rFonts w:ascii="Garamond" w:hAnsi="Garamond"/>
        </w:rPr>
        <w:t xml:space="preserve">Ahora bien, todo ello no puede </w:t>
      </w:r>
      <w:r w:rsidR="00843337">
        <w:rPr>
          <w:rFonts w:ascii="Garamond" w:hAnsi="Garamond"/>
        </w:rPr>
        <w:t xml:space="preserve">considerarse o </w:t>
      </w:r>
      <w:r>
        <w:rPr>
          <w:rFonts w:ascii="Garamond" w:hAnsi="Garamond"/>
        </w:rPr>
        <w:t xml:space="preserve">constituirse </w:t>
      </w:r>
      <w:r w:rsidR="00843337">
        <w:rPr>
          <w:rFonts w:ascii="Garamond" w:hAnsi="Garamond"/>
        </w:rPr>
        <w:t>como un</w:t>
      </w:r>
      <w:r>
        <w:rPr>
          <w:rFonts w:ascii="Garamond" w:hAnsi="Garamond"/>
        </w:rPr>
        <w:t xml:space="preserve"> registro de mala fe, de ahí la necesidad de analizar cada caso en concreto para así determinar la pertinencia y procedencia de uno u otro mecanismo de protección</w:t>
      </w:r>
      <w:r w:rsidR="00442B13">
        <w:rPr>
          <w:rFonts w:ascii="Garamond" w:hAnsi="Garamond"/>
        </w:rPr>
        <w:t xml:space="preserve">, </w:t>
      </w:r>
      <w:r w:rsidR="0019403D">
        <w:rPr>
          <w:rFonts w:ascii="Garamond" w:hAnsi="Garamond"/>
        </w:rPr>
        <w:t>y siempre evitarse</w:t>
      </w:r>
      <w:r w:rsidR="00442B13">
        <w:rPr>
          <w:rFonts w:ascii="Garamond" w:hAnsi="Garamond"/>
        </w:rPr>
        <w:t xml:space="preserve"> que se incurra en una conducta contraria al ordenamiento jurídico</w:t>
      </w:r>
      <w:r>
        <w:rPr>
          <w:rFonts w:ascii="Garamond" w:hAnsi="Garamond"/>
        </w:rPr>
        <w:t>.</w:t>
      </w:r>
    </w:p>
    <w:p w14:paraId="31FFCFC7" w14:textId="3DD2D2EB" w:rsidR="00D4714A" w:rsidRDefault="00D4714A" w:rsidP="005612B2">
      <w:pPr>
        <w:jc w:val="both"/>
        <w:rPr>
          <w:rFonts w:ascii="Garamond" w:hAnsi="Garamond"/>
        </w:rPr>
      </w:pPr>
    </w:p>
    <w:p w14:paraId="5BF2621A" w14:textId="77777777" w:rsidR="00D4714A" w:rsidRPr="005F7920" w:rsidRDefault="00D4714A" w:rsidP="005612B2">
      <w:pPr>
        <w:jc w:val="both"/>
        <w:rPr>
          <w:rFonts w:ascii="Garamond" w:hAnsi="Garamond"/>
        </w:rPr>
      </w:pPr>
    </w:p>
    <w:sectPr w:rsidR="00D4714A" w:rsidRPr="005F7920" w:rsidSect="00425EC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61A49" w14:textId="77777777" w:rsidR="0044242B" w:rsidRDefault="0044242B" w:rsidP="00E46B64">
      <w:r>
        <w:separator/>
      </w:r>
    </w:p>
  </w:endnote>
  <w:endnote w:type="continuationSeparator" w:id="0">
    <w:p w14:paraId="09BED80A" w14:textId="77777777" w:rsidR="0044242B" w:rsidRDefault="0044242B" w:rsidP="00E4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FC746" w14:textId="77777777" w:rsidR="0044242B" w:rsidRDefault="0044242B" w:rsidP="00E46B64">
      <w:r>
        <w:separator/>
      </w:r>
    </w:p>
  </w:footnote>
  <w:footnote w:type="continuationSeparator" w:id="0">
    <w:p w14:paraId="6147E5B6" w14:textId="77777777" w:rsidR="0044242B" w:rsidRDefault="0044242B" w:rsidP="00E46B64">
      <w:r>
        <w:continuationSeparator/>
      </w:r>
    </w:p>
  </w:footnote>
  <w:footnote w:id="1">
    <w:p w14:paraId="595A7725" w14:textId="632C4D8A" w:rsidR="00E46B64" w:rsidRPr="005F7920" w:rsidRDefault="00E46B64">
      <w:pPr>
        <w:pStyle w:val="Textonotapie"/>
        <w:rPr>
          <w:rFonts w:ascii="Garamond" w:hAnsi="Garamond"/>
          <w:sz w:val="18"/>
          <w:szCs w:val="18"/>
        </w:rPr>
      </w:pPr>
      <w:r w:rsidRPr="005F7920">
        <w:rPr>
          <w:rStyle w:val="Refdenotaalpie"/>
          <w:rFonts w:ascii="Garamond" w:hAnsi="Garamond"/>
          <w:sz w:val="18"/>
          <w:szCs w:val="18"/>
        </w:rPr>
        <w:footnoteRef/>
      </w:r>
      <w:r w:rsidRPr="005F7920">
        <w:rPr>
          <w:rFonts w:ascii="Garamond" w:hAnsi="Garamond"/>
          <w:sz w:val="18"/>
          <w:szCs w:val="18"/>
        </w:rPr>
        <w:t xml:space="preserve"> </w:t>
      </w:r>
      <w:r w:rsidRPr="005F7920">
        <w:rPr>
          <w:rFonts w:ascii="Garamond" w:hAnsi="Garamond"/>
          <w:sz w:val="18"/>
          <w:szCs w:val="18"/>
          <w:lang w:val="es-ES"/>
        </w:rPr>
        <w:t xml:space="preserve">Superintendencia de Industria y Comercio. </w:t>
      </w:r>
      <w:r w:rsidRPr="005F7920">
        <w:rPr>
          <w:rFonts w:ascii="Garamond" w:hAnsi="Garamond"/>
          <w:sz w:val="18"/>
          <w:szCs w:val="18"/>
        </w:rPr>
        <w:t>Resolución N° 35433 del 24 de mayo de 2018. Ref. Expediente N° SD2017/0017529</w:t>
      </w:r>
    </w:p>
  </w:footnote>
  <w:footnote w:id="2">
    <w:p w14:paraId="64D51FF5" w14:textId="4483ED12" w:rsidR="007F2541" w:rsidRPr="007F2541" w:rsidRDefault="007F2541">
      <w:pPr>
        <w:pStyle w:val="Textonotapie"/>
        <w:rPr>
          <w:lang w:val="es-ES"/>
        </w:rPr>
      </w:pPr>
      <w:r w:rsidRPr="005F7920">
        <w:rPr>
          <w:rStyle w:val="Refdenotaalpie"/>
          <w:rFonts w:ascii="Garamond" w:hAnsi="Garamond"/>
          <w:sz w:val="18"/>
          <w:szCs w:val="18"/>
        </w:rPr>
        <w:footnoteRef/>
      </w:r>
      <w:r w:rsidRPr="005F7920">
        <w:rPr>
          <w:rFonts w:ascii="Garamond" w:hAnsi="Garamond"/>
          <w:sz w:val="18"/>
          <w:szCs w:val="18"/>
        </w:rPr>
        <w:t xml:space="preserve"> </w:t>
      </w:r>
      <w:r w:rsidRPr="005F7920">
        <w:rPr>
          <w:rFonts w:ascii="Garamond" w:hAnsi="Garamond"/>
          <w:sz w:val="18"/>
          <w:szCs w:val="18"/>
          <w:lang w:val="es-ES"/>
        </w:rPr>
        <w:t>Tribunal de Justicia de la Comunidad Andina. Decisión 05 – IP – 2014 del 26 de febrero de 2014</w:t>
      </w:r>
      <w:r w:rsidR="005F7920" w:rsidRPr="005F7920">
        <w:rPr>
          <w:rFonts w:ascii="Garamond" w:hAnsi="Garamond"/>
          <w:sz w:val="18"/>
          <w:szCs w:val="18"/>
          <w:lang w:val="es-ES"/>
        </w:rPr>
        <w:t xml:space="preserve">. </w:t>
      </w:r>
    </w:p>
  </w:footnote>
  <w:footnote w:id="3">
    <w:p w14:paraId="6B8DC9CD" w14:textId="408B938B" w:rsidR="004647D8" w:rsidRPr="004647D8" w:rsidRDefault="004647D8">
      <w:pPr>
        <w:pStyle w:val="Textonotapie"/>
        <w:rPr>
          <w:lang w:val="es-ES"/>
        </w:rPr>
      </w:pPr>
      <w:r>
        <w:rPr>
          <w:rStyle w:val="Refdenotaalpie"/>
        </w:rPr>
        <w:footnoteRef/>
      </w:r>
      <w:r>
        <w:t xml:space="preserve"> </w:t>
      </w:r>
      <w:r w:rsidRPr="005F7920">
        <w:rPr>
          <w:rFonts w:ascii="Garamond" w:hAnsi="Garamond"/>
          <w:sz w:val="18"/>
          <w:szCs w:val="18"/>
          <w:lang w:val="es-ES"/>
        </w:rPr>
        <w:t xml:space="preserve">Tribunal de Justicia de la Comunidad Andina. Decisión </w:t>
      </w:r>
      <w:r>
        <w:rPr>
          <w:rFonts w:ascii="Garamond" w:hAnsi="Garamond"/>
          <w:sz w:val="18"/>
          <w:szCs w:val="18"/>
          <w:lang w:val="es-ES"/>
        </w:rPr>
        <w:t>30</w:t>
      </w:r>
      <w:r w:rsidRPr="005F7920">
        <w:rPr>
          <w:rFonts w:ascii="Garamond" w:hAnsi="Garamond"/>
          <w:sz w:val="18"/>
          <w:szCs w:val="18"/>
          <w:lang w:val="es-ES"/>
        </w:rPr>
        <w:t xml:space="preserve"> – IP – </w:t>
      </w:r>
      <w:r>
        <w:rPr>
          <w:rFonts w:ascii="Garamond" w:hAnsi="Garamond"/>
          <w:sz w:val="18"/>
          <w:szCs w:val="18"/>
          <w:lang w:val="es-ES"/>
        </w:rPr>
        <w:t>1997</w:t>
      </w:r>
      <w:r w:rsidRPr="005F7920">
        <w:rPr>
          <w:rFonts w:ascii="Garamond" w:hAnsi="Garamond"/>
          <w:sz w:val="18"/>
          <w:szCs w:val="18"/>
          <w:lang w:val="es-ES"/>
        </w:rPr>
        <w:t xml:space="preserve"> del </w:t>
      </w:r>
      <w:r>
        <w:rPr>
          <w:rFonts w:ascii="Garamond" w:hAnsi="Garamond"/>
          <w:sz w:val="18"/>
          <w:szCs w:val="18"/>
          <w:lang w:val="es-ES"/>
        </w:rPr>
        <w:t>8</w:t>
      </w:r>
      <w:r w:rsidRPr="005F7920">
        <w:rPr>
          <w:rFonts w:ascii="Garamond" w:hAnsi="Garamond"/>
          <w:sz w:val="18"/>
          <w:szCs w:val="18"/>
          <w:lang w:val="es-ES"/>
        </w:rPr>
        <w:t xml:space="preserve"> de </w:t>
      </w:r>
      <w:r>
        <w:rPr>
          <w:rFonts w:ascii="Garamond" w:hAnsi="Garamond"/>
          <w:sz w:val="18"/>
          <w:szCs w:val="18"/>
          <w:lang w:val="es-ES"/>
        </w:rPr>
        <w:t>mayo</w:t>
      </w:r>
      <w:r w:rsidRPr="005F7920">
        <w:rPr>
          <w:rFonts w:ascii="Garamond" w:hAnsi="Garamond"/>
          <w:sz w:val="18"/>
          <w:szCs w:val="18"/>
          <w:lang w:val="es-ES"/>
        </w:rPr>
        <w:t xml:space="preserve"> de </w:t>
      </w:r>
      <w:r>
        <w:rPr>
          <w:rFonts w:ascii="Garamond" w:hAnsi="Garamond"/>
          <w:sz w:val="18"/>
          <w:szCs w:val="18"/>
          <w:lang w:val="es-ES"/>
        </w:rPr>
        <w:t>1998</w:t>
      </w:r>
      <w:r w:rsidRPr="005F7920">
        <w:rPr>
          <w:rFonts w:ascii="Garamond" w:hAnsi="Garamond"/>
          <w:sz w:val="18"/>
          <w:szCs w:val="18"/>
          <w:lang w:val="es-E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0"/>
    <w:rsid w:val="000473FC"/>
    <w:rsid w:val="00052C1D"/>
    <w:rsid w:val="00080BE1"/>
    <w:rsid w:val="000858B0"/>
    <w:rsid w:val="00121F5C"/>
    <w:rsid w:val="001329A1"/>
    <w:rsid w:val="00150A9D"/>
    <w:rsid w:val="00166084"/>
    <w:rsid w:val="00166DC8"/>
    <w:rsid w:val="00184C97"/>
    <w:rsid w:val="0019403D"/>
    <w:rsid w:val="001C6F05"/>
    <w:rsid w:val="001E26B1"/>
    <w:rsid w:val="00211A74"/>
    <w:rsid w:val="00217E8B"/>
    <w:rsid w:val="002C6254"/>
    <w:rsid w:val="003341B1"/>
    <w:rsid w:val="003C0664"/>
    <w:rsid w:val="003C1A5D"/>
    <w:rsid w:val="003D7E08"/>
    <w:rsid w:val="0040283F"/>
    <w:rsid w:val="004066C3"/>
    <w:rsid w:val="00425EC6"/>
    <w:rsid w:val="0044242B"/>
    <w:rsid w:val="00442B13"/>
    <w:rsid w:val="0044532B"/>
    <w:rsid w:val="004647D8"/>
    <w:rsid w:val="00466C39"/>
    <w:rsid w:val="00481CCD"/>
    <w:rsid w:val="0048765D"/>
    <w:rsid w:val="004D6E90"/>
    <w:rsid w:val="00516B98"/>
    <w:rsid w:val="005612B2"/>
    <w:rsid w:val="005F7920"/>
    <w:rsid w:val="006A6ABD"/>
    <w:rsid w:val="006B01CC"/>
    <w:rsid w:val="006E0813"/>
    <w:rsid w:val="006E2C2F"/>
    <w:rsid w:val="007B5821"/>
    <w:rsid w:val="007E2C00"/>
    <w:rsid w:val="007E6F27"/>
    <w:rsid w:val="007F2541"/>
    <w:rsid w:val="008362FB"/>
    <w:rsid w:val="00843337"/>
    <w:rsid w:val="00877D19"/>
    <w:rsid w:val="00892062"/>
    <w:rsid w:val="009A745D"/>
    <w:rsid w:val="009C1359"/>
    <w:rsid w:val="009F4A0E"/>
    <w:rsid w:val="00A513FE"/>
    <w:rsid w:val="00A64814"/>
    <w:rsid w:val="00B075F2"/>
    <w:rsid w:val="00B177BE"/>
    <w:rsid w:val="00B24835"/>
    <w:rsid w:val="00B26757"/>
    <w:rsid w:val="00B45551"/>
    <w:rsid w:val="00BC11A7"/>
    <w:rsid w:val="00BD4A37"/>
    <w:rsid w:val="00C16962"/>
    <w:rsid w:val="00C35A98"/>
    <w:rsid w:val="00C45421"/>
    <w:rsid w:val="00C97336"/>
    <w:rsid w:val="00CA6AF7"/>
    <w:rsid w:val="00CE473E"/>
    <w:rsid w:val="00D4714A"/>
    <w:rsid w:val="00D50F3C"/>
    <w:rsid w:val="00D806CF"/>
    <w:rsid w:val="00DF7BD3"/>
    <w:rsid w:val="00E253B4"/>
    <w:rsid w:val="00E46B64"/>
    <w:rsid w:val="00E8583D"/>
    <w:rsid w:val="00EB3318"/>
    <w:rsid w:val="00EB5A0D"/>
    <w:rsid w:val="00F04696"/>
    <w:rsid w:val="00F74F02"/>
    <w:rsid w:val="00FD37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7FD2"/>
  <w15:chartTrackingRefBased/>
  <w15:docId w15:val="{B3DAE42D-779F-C94F-B047-10FEE8E9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46B64"/>
    <w:rPr>
      <w:sz w:val="20"/>
      <w:szCs w:val="20"/>
    </w:rPr>
  </w:style>
  <w:style w:type="character" w:customStyle="1" w:styleId="TextonotapieCar">
    <w:name w:val="Texto nota pie Car"/>
    <w:basedOn w:val="Fuentedeprrafopredeter"/>
    <w:link w:val="Textonotapie"/>
    <w:uiPriority w:val="99"/>
    <w:semiHidden/>
    <w:rsid w:val="00E46B64"/>
    <w:rPr>
      <w:sz w:val="20"/>
      <w:szCs w:val="20"/>
    </w:rPr>
  </w:style>
  <w:style w:type="character" w:styleId="Refdenotaalpie">
    <w:name w:val="footnote reference"/>
    <w:basedOn w:val="Fuentedeprrafopredeter"/>
    <w:uiPriority w:val="99"/>
    <w:semiHidden/>
    <w:unhideWhenUsed/>
    <w:rsid w:val="00E46B64"/>
    <w:rPr>
      <w:vertAlign w:val="superscript"/>
    </w:rPr>
  </w:style>
  <w:style w:type="character" w:styleId="Refdecomentario">
    <w:name w:val="annotation reference"/>
    <w:basedOn w:val="Fuentedeprrafopredeter"/>
    <w:uiPriority w:val="99"/>
    <w:semiHidden/>
    <w:unhideWhenUsed/>
    <w:rsid w:val="00E253B4"/>
    <w:rPr>
      <w:sz w:val="16"/>
      <w:szCs w:val="16"/>
    </w:rPr>
  </w:style>
  <w:style w:type="paragraph" w:styleId="Textocomentario">
    <w:name w:val="annotation text"/>
    <w:basedOn w:val="Normal"/>
    <w:link w:val="TextocomentarioCar"/>
    <w:uiPriority w:val="99"/>
    <w:semiHidden/>
    <w:unhideWhenUsed/>
    <w:rsid w:val="00E253B4"/>
    <w:rPr>
      <w:sz w:val="20"/>
      <w:szCs w:val="20"/>
    </w:rPr>
  </w:style>
  <w:style w:type="character" w:customStyle="1" w:styleId="TextocomentarioCar">
    <w:name w:val="Texto comentario Car"/>
    <w:basedOn w:val="Fuentedeprrafopredeter"/>
    <w:link w:val="Textocomentario"/>
    <w:uiPriority w:val="99"/>
    <w:semiHidden/>
    <w:rsid w:val="00E253B4"/>
    <w:rPr>
      <w:sz w:val="20"/>
      <w:szCs w:val="20"/>
    </w:rPr>
  </w:style>
  <w:style w:type="paragraph" w:styleId="Asuntodelcomentario">
    <w:name w:val="annotation subject"/>
    <w:basedOn w:val="Textocomentario"/>
    <w:next w:val="Textocomentario"/>
    <w:link w:val="AsuntodelcomentarioCar"/>
    <w:uiPriority w:val="99"/>
    <w:semiHidden/>
    <w:unhideWhenUsed/>
    <w:rsid w:val="00E253B4"/>
    <w:rPr>
      <w:b/>
      <w:bCs/>
    </w:rPr>
  </w:style>
  <w:style w:type="character" w:customStyle="1" w:styleId="AsuntodelcomentarioCar">
    <w:name w:val="Asunto del comentario Car"/>
    <w:basedOn w:val="TextocomentarioCar"/>
    <w:link w:val="Asuntodelcomentario"/>
    <w:uiPriority w:val="99"/>
    <w:semiHidden/>
    <w:rsid w:val="00E253B4"/>
    <w:rPr>
      <w:b/>
      <w:bCs/>
      <w:sz w:val="20"/>
      <w:szCs w:val="20"/>
    </w:rPr>
  </w:style>
  <w:style w:type="paragraph" w:styleId="Textodeglobo">
    <w:name w:val="Balloon Text"/>
    <w:basedOn w:val="Normal"/>
    <w:link w:val="TextodegloboCar"/>
    <w:uiPriority w:val="99"/>
    <w:semiHidden/>
    <w:unhideWhenUsed/>
    <w:rsid w:val="00E253B4"/>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253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41450">
      <w:bodyDiv w:val="1"/>
      <w:marLeft w:val="0"/>
      <w:marRight w:val="0"/>
      <w:marTop w:val="0"/>
      <w:marBottom w:val="0"/>
      <w:divBdr>
        <w:top w:val="none" w:sz="0" w:space="0" w:color="auto"/>
        <w:left w:val="none" w:sz="0" w:space="0" w:color="auto"/>
        <w:bottom w:val="none" w:sz="0" w:space="0" w:color="auto"/>
        <w:right w:val="none" w:sz="0" w:space="0" w:color="auto"/>
      </w:divBdr>
    </w:div>
    <w:div w:id="315571474">
      <w:bodyDiv w:val="1"/>
      <w:marLeft w:val="0"/>
      <w:marRight w:val="0"/>
      <w:marTop w:val="0"/>
      <w:marBottom w:val="0"/>
      <w:divBdr>
        <w:top w:val="none" w:sz="0" w:space="0" w:color="auto"/>
        <w:left w:val="none" w:sz="0" w:space="0" w:color="auto"/>
        <w:bottom w:val="none" w:sz="0" w:space="0" w:color="auto"/>
        <w:right w:val="none" w:sz="0" w:space="0" w:color="auto"/>
      </w:divBdr>
    </w:div>
    <w:div w:id="323705102">
      <w:bodyDiv w:val="1"/>
      <w:marLeft w:val="0"/>
      <w:marRight w:val="0"/>
      <w:marTop w:val="0"/>
      <w:marBottom w:val="0"/>
      <w:divBdr>
        <w:top w:val="none" w:sz="0" w:space="0" w:color="auto"/>
        <w:left w:val="none" w:sz="0" w:space="0" w:color="auto"/>
        <w:bottom w:val="none" w:sz="0" w:space="0" w:color="auto"/>
        <w:right w:val="none" w:sz="0" w:space="0" w:color="auto"/>
      </w:divBdr>
    </w:div>
    <w:div w:id="448546168">
      <w:bodyDiv w:val="1"/>
      <w:marLeft w:val="0"/>
      <w:marRight w:val="0"/>
      <w:marTop w:val="0"/>
      <w:marBottom w:val="0"/>
      <w:divBdr>
        <w:top w:val="none" w:sz="0" w:space="0" w:color="auto"/>
        <w:left w:val="none" w:sz="0" w:space="0" w:color="auto"/>
        <w:bottom w:val="none" w:sz="0" w:space="0" w:color="auto"/>
        <w:right w:val="none" w:sz="0" w:space="0" w:color="auto"/>
      </w:divBdr>
    </w:div>
    <w:div w:id="542596790">
      <w:bodyDiv w:val="1"/>
      <w:marLeft w:val="0"/>
      <w:marRight w:val="0"/>
      <w:marTop w:val="0"/>
      <w:marBottom w:val="0"/>
      <w:divBdr>
        <w:top w:val="none" w:sz="0" w:space="0" w:color="auto"/>
        <w:left w:val="none" w:sz="0" w:space="0" w:color="auto"/>
        <w:bottom w:val="none" w:sz="0" w:space="0" w:color="auto"/>
        <w:right w:val="none" w:sz="0" w:space="0" w:color="auto"/>
      </w:divBdr>
    </w:div>
    <w:div w:id="607808343">
      <w:bodyDiv w:val="1"/>
      <w:marLeft w:val="0"/>
      <w:marRight w:val="0"/>
      <w:marTop w:val="0"/>
      <w:marBottom w:val="0"/>
      <w:divBdr>
        <w:top w:val="none" w:sz="0" w:space="0" w:color="auto"/>
        <w:left w:val="none" w:sz="0" w:space="0" w:color="auto"/>
        <w:bottom w:val="none" w:sz="0" w:space="0" w:color="auto"/>
        <w:right w:val="none" w:sz="0" w:space="0" w:color="auto"/>
      </w:divBdr>
    </w:div>
    <w:div w:id="656612790">
      <w:bodyDiv w:val="1"/>
      <w:marLeft w:val="0"/>
      <w:marRight w:val="0"/>
      <w:marTop w:val="0"/>
      <w:marBottom w:val="0"/>
      <w:divBdr>
        <w:top w:val="none" w:sz="0" w:space="0" w:color="auto"/>
        <w:left w:val="none" w:sz="0" w:space="0" w:color="auto"/>
        <w:bottom w:val="none" w:sz="0" w:space="0" w:color="auto"/>
        <w:right w:val="none" w:sz="0" w:space="0" w:color="auto"/>
      </w:divBdr>
    </w:div>
    <w:div w:id="713846366">
      <w:bodyDiv w:val="1"/>
      <w:marLeft w:val="0"/>
      <w:marRight w:val="0"/>
      <w:marTop w:val="0"/>
      <w:marBottom w:val="0"/>
      <w:divBdr>
        <w:top w:val="none" w:sz="0" w:space="0" w:color="auto"/>
        <w:left w:val="none" w:sz="0" w:space="0" w:color="auto"/>
        <w:bottom w:val="none" w:sz="0" w:space="0" w:color="auto"/>
        <w:right w:val="none" w:sz="0" w:space="0" w:color="auto"/>
      </w:divBdr>
    </w:div>
    <w:div w:id="1044447825">
      <w:bodyDiv w:val="1"/>
      <w:marLeft w:val="0"/>
      <w:marRight w:val="0"/>
      <w:marTop w:val="0"/>
      <w:marBottom w:val="0"/>
      <w:divBdr>
        <w:top w:val="none" w:sz="0" w:space="0" w:color="auto"/>
        <w:left w:val="none" w:sz="0" w:space="0" w:color="auto"/>
        <w:bottom w:val="none" w:sz="0" w:space="0" w:color="auto"/>
        <w:right w:val="none" w:sz="0" w:space="0" w:color="auto"/>
      </w:divBdr>
    </w:div>
    <w:div w:id="1309364289">
      <w:bodyDiv w:val="1"/>
      <w:marLeft w:val="0"/>
      <w:marRight w:val="0"/>
      <w:marTop w:val="0"/>
      <w:marBottom w:val="0"/>
      <w:divBdr>
        <w:top w:val="none" w:sz="0" w:space="0" w:color="auto"/>
        <w:left w:val="none" w:sz="0" w:space="0" w:color="auto"/>
        <w:bottom w:val="none" w:sz="0" w:space="0" w:color="auto"/>
        <w:right w:val="none" w:sz="0" w:space="0" w:color="auto"/>
      </w:divBdr>
    </w:div>
    <w:div w:id="1668552646">
      <w:bodyDiv w:val="1"/>
      <w:marLeft w:val="0"/>
      <w:marRight w:val="0"/>
      <w:marTop w:val="0"/>
      <w:marBottom w:val="0"/>
      <w:divBdr>
        <w:top w:val="none" w:sz="0" w:space="0" w:color="auto"/>
        <w:left w:val="none" w:sz="0" w:space="0" w:color="auto"/>
        <w:bottom w:val="none" w:sz="0" w:space="0" w:color="auto"/>
        <w:right w:val="none" w:sz="0" w:space="0" w:color="auto"/>
      </w:divBdr>
    </w:div>
    <w:div w:id="1801653172">
      <w:bodyDiv w:val="1"/>
      <w:marLeft w:val="0"/>
      <w:marRight w:val="0"/>
      <w:marTop w:val="0"/>
      <w:marBottom w:val="0"/>
      <w:divBdr>
        <w:top w:val="none" w:sz="0" w:space="0" w:color="auto"/>
        <w:left w:val="none" w:sz="0" w:space="0" w:color="auto"/>
        <w:bottom w:val="none" w:sz="0" w:space="0" w:color="auto"/>
        <w:right w:val="none" w:sz="0" w:space="0" w:color="auto"/>
      </w:divBdr>
    </w:div>
    <w:div w:id="1829007889">
      <w:bodyDiv w:val="1"/>
      <w:marLeft w:val="0"/>
      <w:marRight w:val="0"/>
      <w:marTop w:val="0"/>
      <w:marBottom w:val="0"/>
      <w:divBdr>
        <w:top w:val="none" w:sz="0" w:space="0" w:color="auto"/>
        <w:left w:val="none" w:sz="0" w:space="0" w:color="auto"/>
        <w:bottom w:val="none" w:sz="0" w:space="0" w:color="auto"/>
        <w:right w:val="none" w:sz="0" w:space="0" w:color="auto"/>
      </w:divBdr>
    </w:div>
    <w:div w:id="20088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447B-C68F-104F-BA2D-31D75ECB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6484</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Rafael Torres Zapata</dc:creator>
  <cp:keywords/>
  <dc:description/>
  <cp:lastModifiedBy>Usuario de Microsoft Office</cp:lastModifiedBy>
  <cp:revision>2</cp:revision>
  <dcterms:created xsi:type="dcterms:W3CDTF">2020-10-01T21:02:00Z</dcterms:created>
  <dcterms:modified xsi:type="dcterms:W3CDTF">2020-10-01T21:02:00Z</dcterms:modified>
</cp:coreProperties>
</file>